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0414E" w14:textId="77777777"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14:anchorId="1E24A4BB" wp14:editId="7ED0599E">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12C6497F" w14:textId="77777777" w:rsidR="00764B3A" w:rsidRPr="00AE567F" w:rsidRDefault="00172679" w:rsidP="00AE567F">
      <w:pPr>
        <w:pStyle w:val="Title"/>
        <w:rPr>
          <w:rFonts w:hint="eastAsia"/>
        </w:rPr>
      </w:pPr>
      <w:r>
        <w:rPr>
          <w:rFonts w:hint="eastAsia"/>
        </w:rPr>
        <w:t xml:space="preserve">简单光照示例 (DX12)</w:t>
      </w:r>
    </w:p>
    <w:p w14:paraId="5BFE3FC9" w14:textId="77777777" w:rsidR="00281D12" w:rsidRPr="00281D12" w:rsidRDefault="00281D12" w:rsidP="00281D12">
      <w:pPr>
        <w:rPr>
          <w:i/>
          <w:rFonts w:hint="eastAsia"/>
        </w:rPr>
      </w:pPr>
      <w:r>
        <w:rPr>
          <w:i/>
          <w:rFonts w:hint="eastAsia"/>
        </w:rPr>
        <w:t xml:space="preserve">此样本与 2016 年 8 月的 Xbox One XDK 兼容。</w:t>
      </w:r>
    </w:p>
    <w:p w14:paraId="43E1FA21" w14:textId="77777777" w:rsidR="00281D12" w:rsidRDefault="00281D12" w:rsidP="00AE567F">
      <w:pPr>
        <w:pStyle w:val="Heading1"/>
        <w:spacing w:before="0"/>
      </w:pPr>
    </w:p>
    <w:p w14:paraId="4F45A458" w14:textId="77777777" w:rsidR="00764B3A" w:rsidRDefault="00281D12" w:rsidP="00AE567F">
      <w:pPr>
        <w:pStyle w:val="Heading1"/>
        <w:spacing w:before="0"/>
        <w:rPr>
          <w:rFonts w:hint="eastAsia"/>
        </w:rPr>
      </w:pPr>
      <w:r>
        <w:rPr>
          <w:rFonts w:hint="eastAsia"/>
        </w:rPr>
        <w:t xml:space="preserve">描述</w:t>
      </w:r>
    </w:p>
    <w:p w14:paraId="3DBEB470" w14:textId="77777777" w:rsidR="00172679" w:rsidRDefault="00172679" w:rsidP="00172679">
      <w:pPr>
        <w:rPr>
          <w:rFonts w:cs="Segoe UI" w:hint="eastAsia"/>
        </w:rPr>
      </w:pPr>
      <w:r>
        <w:rPr>
          <w:rFonts w:hint="eastAsia"/>
        </w:rPr>
        <w:t xml:space="preserve">本样本演示如何创建静态 Direct3D 12 顶点、索引和常量缓冲区，以绘制使用静态和动态Lambertian 光照点亮的索引几何体。</w:t>
      </w:r>
    </w:p>
    <w:p w14:paraId="581CF8D0" w14:textId="77777777" w:rsidR="00172679" w:rsidRDefault="00172679" w:rsidP="00172679">
      <w:pPr>
        <w:rPr>
          <w:rFonts w:cs="Segoe UI"/>
        </w:rPr>
      </w:pPr>
    </w:p>
    <w:p w14:paraId="6A823261" w14:textId="77777777" w:rsidR="00172679" w:rsidRDefault="00172679" w:rsidP="00172679">
      <w:pPr>
        <w:rPr>
          <w:rFonts w:hint="eastAsia"/>
        </w:rPr>
      </w:pPr>
      <w:r>
        <w:rPr>
          <w:rFonts w:hint="eastAsia"/>
        </w:rPr>
        <w:t xml:space="preserve">该示例渲染了一个由两个灯光点亮的大型立方体，一个白色和一个红色，也表示为立方体。</w:t>
      </w:r>
      <w:r>
        <w:rPr>
          <w:rFonts w:hint="eastAsia"/>
        </w:rPr>
        <w:t xml:space="preserve">白灯静止，而红灯围绕中央立方体运行。</w:t>
      </w:r>
      <w:r>
        <w:rPr>
          <w:rFonts w:hint="eastAsia"/>
        </w:rPr>
        <w:t xml:space="preserve">中央立方体也旋转。</w:t>
      </w:r>
      <w:r>
        <w:rPr>
          <w:rFonts w:hint="eastAsia"/>
        </w:rPr>
        <w:t xml:space="preserve">该动作允许您从不同角度观察彩色灯光的效果。</w:t>
      </w:r>
    </w:p>
    <w:p w14:paraId="1FD3A5E1" w14:textId="77777777" w:rsidR="00D04E02" w:rsidRPr="00954F86" w:rsidRDefault="00D04E02" w:rsidP="00172679"/>
    <w:p w14:paraId="158F7F22" w14:textId="77777777" w:rsidR="00281D12" w:rsidRDefault="00D04E02" w:rsidP="00281D12">
      <w:pPr>
        <w:rPr>
          <w:rFonts w:hint="eastAsia"/>
        </w:rPr>
      </w:pPr>
      <w:r>
        <w:rPr>
          <w:rFonts w:hint="eastAsia"/>
        </w:rPr>
        <w:drawing>
          <wp:inline distT="0" distB="0" distL="0" distR="0" wp14:anchorId="1A0B11BD" wp14:editId="35B4459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D0CFF63" w14:textId="77777777" w:rsidR="00281D12" w:rsidRDefault="00281D12" w:rsidP="00281D12">
      <w:pPr>
        <w:pStyle w:val="Heading1"/>
        <w:rPr>
          <w:rFonts w:hint="eastAsia"/>
        </w:rPr>
      </w:pPr>
      <w:r>
        <w:rPr>
          <w:rFonts w:hint="eastAsia"/>
        </w:rPr>
        <w:t xml:space="preserve">使用样本</w:t>
      </w:r>
    </w:p>
    <w:p w14:paraId="36AE501B"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51"/>
        <w:gridCol w:w="3899"/>
      </w:tblGrid>
      <w:tr w:rsidR="00C60001" w:rsidRPr="00C42F0D" w14:paraId="09548254" w14:textId="77777777" w:rsidTr="00C60001">
        <w:trPr>
          <w:cnfStyle w:val="100000000000" w:firstRow="1" w:lastRow="0" w:firstColumn="0" w:lastColumn="0" w:oddVBand="0" w:evenVBand="0" w:oddHBand="0" w:evenHBand="0" w:firstRowFirstColumn="0" w:firstRowLastColumn="0" w:lastRowFirstColumn="0" w:lastRowLastColumn="0"/>
          <w:trHeight w:val="411"/>
        </w:trPr>
        <w:tc>
          <w:tcPr>
            <w:tcW w:w="2915" w:type="pct"/>
            <w:hideMark/>
          </w:tcPr>
          <w:p w14:paraId="5843FF2A" w14:textId="77777777" w:rsidR="00C60001" w:rsidRPr="00C42F0D" w:rsidRDefault="00C60001" w:rsidP="005E6344">
            <w:pPr>
              <w:pStyle w:val="Tableheading"/>
              <w:rPr>
                <w:bCs w:val="0"/>
                <w:rFonts w:hint="eastAsia"/>
              </w:rPr>
            </w:pPr>
            <w:r>
              <w:rPr>
                <w:rFonts w:hint="eastAsia"/>
              </w:rPr>
              <w:t xml:space="preserve">操作</w:t>
            </w:r>
          </w:p>
        </w:tc>
        <w:tc>
          <w:tcPr>
            <w:tcW w:w="2085" w:type="pct"/>
            <w:hideMark/>
          </w:tcPr>
          <w:p w14:paraId="43A0C28D" w14:textId="77777777" w:rsidR="00C60001" w:rsidRPr="00C42F0D" w:rsidRDefault="00C60001" w:rsidP="005E6344">
            <w:pPr>
              <w:pStyle w:val="Tableheading"/>
              <w:rPr>
                <w:bCs w:val="0"/>
                <w:rFonts w:hint="eastAsia"/>
              </w:rPr>
            </w:pPr>
            <w:r>
              <w:rPr>
                <w:rFonts w:hint="eastAsia"/>
              </w:rPr>
              <w:t xml:space="preserve">游戏手柄</w:t>
            </w:r>
          </w:p>
        </w:tc>
      </w:tr>
      <w:tr w:rsidR="00C60001" w14:paraId="043B78CE" w14:textId="77777777" w:rsidTr="00C60001">
        <w:trPr>
          <w:trHeight w:val="530"/>
        </w:trPr>
        <w:tc>
          <w:tcPr>
            <w:tcW w:w="2915" w:type="pct"/>
          </w:tcPr>
          <w:p w14:paraId="0A188199" w14:textId="77777777" w:rsidR="00C60001" w:rsidRDefault="00C60001" w:rsidP="005E6344">
            <w:pPr>
              <w:pStyle w:val="Tablebody"/>
              <w:rPr>
                <w:rFonts w:hint="eastAsia"/>
              </w:rPr>
            </w:pPr>
            <w:r>
              <w:rPr>
                <w:rFonts w:hint="eastAsia"/>
              </w:rPr>
              <w:t xml:space="preserve">退出</w:t>
            </w:r>
          </w:p>
        </w:tc>
        <w:tc>
          <w:tcPr>
            <w:tcW w:w="2085" w:type="pct"/>
          </w:tcPr>
          <w:p w14:paraId="69307D15" w14:textId="77777777" w:rsidR="00C60001" w:rsidRDefault="00C60001" w:rsidP="005E6344">
            <w:pPr>
              <w:pStyle w:val="Tablebody"/>
              <w:rPr>
                <w:rFonts w:hint="eastAsia"/>
              </w:rPr>
            </w:pPr>
            <w:r>
              <w:rPr>
                <w:rFonts w:hint="eastAsia"/>
              </w:rPr>
              <w:t xml:space="preserve">查看按键</w:t>
            </w:r>
          </w:p>
        </w:tc>
      </w:tr>
    </w:tbl>
    <w:p w14:paraId="78963912" w14:textId="77777777" w:rsidR="00E16AF8" w:rsidRDefault="00E16AF8" w:rsidP="00331038"/>
    <w:p w14:paraId="36185742" w14:textId="77777777" w:rsidR="00575766" w:rsidRDefault="00575766">
      <w:pPr>
        <w:spacing w:after="160" w:line="259" w:lineRule="auto"/>
        <w:rPr>
          <w:rFonts w:hint="eastAsia"/>
        </w:rPr>
      </w:pPr>
      <w:r>
        <w:rPr>
          <w:rFonts w:hint="eastAsia"/>
        </w:rPr>
        <w:br w:type="page"/>
      </w:r>
    </w:p>
    <w:p w14:paraId="5ED85238" w14:textId="77777777" w:rsidR="003D3EF7" w:rsidRDefault="003D3EF7" w:rsidP="003D3EF7">
      <w:pPr>
        <w:pStyle w:val="Heading1"/>
        <w:rPr>
          <w:rFonts w:hint="eastAsia"/>
        </w:rPr>
      </w:pPr>
      <w:r>
        <w:rPr>
          <w:rFonts w:hint="eastAsia"/>
        </w:rPr>
        <w:t xml:space="preserve">实施说明</w:t>
      </w:r>
    </w:p>
    <w:p w14:paraId="2BD726FB" w14:textId="77777777" w:rsidR="00E6537C" w:rsidRDefault="00E6537C" w:rsidP="00E6537C">
      <w:pPr>
        <w:pStyle w:val="Heading2"/>
        <w:rPr>
          <w:rFonts w:hint="eastAsia"/>
        </w:rPr>
      </w:pPr>
      <w:r>
        <w:rPr>
          <w:rFonts w:hint="eastAsia"/>
        </w:rPr>
        <w:t xml:space="preserve">着色器</w:t>
      </w:r>
    </w:p>
    <w:p w14:paraId="77FF2F97" w14:textId="77777777" w:rsidR="00172679" w:rsidRDefault="00172679" w:rsidP="00E6537C">
      <w:pPr>
        <w:pStyle w:val="Heading2"/>
        <w:rPr>
          <w:b w:val="0"/>
          <w:sz w:val="20"/>
          <w:szCs w:val="22"/>
          <w:rFonts w:eastAsiaTheme="minorHAnsi" w:cs="Segoe UI" w:hint="eastAsia"/>
        </w:rPr>
      </w:pPr>
      <w:r>
        <w:rPr>
          <w:b w:val="0"/>
          <w:sz w:val="20"/>
          <w:szCs w:val="22"/>
          <w:rFonts w:hint="eastAsia"/>
        </w:rPr>
        <w:t xml:space="preserve">该示例使用三个着色器渲染场景 - 顶点着色器（“TriangleVS”）和两个像素着色器（“LambertPS”，“SolidColorPS”。）</w:t>
      </w:r>
      <w:r>
        <w:rPr>
          <w:b w:val="0"/>
          <w:sz w:val="20"/>
          <w:szCs w:val="22"/>
          <w:rFonts w:hint="eastAsia"/>
        </w:rPr>
        <w:t xml:space="preserve">将已编译的着色器块载入 CreateDeviceDependentResources，然后在为每个着色器组合创建管道状态对象时引用。</w:t>
      </w:r>
      <w:r>
        <w:rPr>
          <w:b w:val="0"/>
          <w:sz w:val="20"/>
          <w:szCs w:val="22"/>
          <w:rFonts w:hint="eastAsia"/>
        </w:rPr>
        <w:t xml:space="preserve">  </w:t>
      </w:r>
      <w:r>
        <w:rPr>
          <w:b w:val="0"/>
          <w:sz w:val="20"/>
          <w:szCs w:val="22"/>
          <w:rFonts w:hint="eastAsia"/>
        </w:rPr>
        <w:t xml:space="preserve">所有着色器都在同一个HLSL包含文件中定义，“SimpleLighting.hlsli”和三个存根着色器包含此文件。</w:t>
      </w:r>
      <w:r>
        <w:rPr>
          <w:b w:val="0"/>
          <w:sz w:val="20"/>
          <w:szCs w:val="22"/>
          <w:rFonts w:hint="eastAsia"/>
        </w:rPr>
        <w:t xml:space="preserve">为不同的入口点编译每个存根着色器，以便创建三个着色器blob。</w:t>
      </w:r>
    </w:p>
    <w:p w14:paraId="13D1ADD7" w14:textId="77777777" w:rsidR="00E6537C" w:rsidRPr="00E6537C" w:rsidRDefault="00E6537C" w:rsidP="00E6537C"/>
    <w:p w14:paraId="6E06DFDA" w14:textId="77777777" w:rsidR="00E6537C" w:rsidRDefault="00E6537C" w:rsidP="00E6537C">
      <w:pPr>
        <w:pStyle w:val="Heading2"/>
        <w:rPr>
          <w:rFonts w:hint="eastAsia"/>
        </w:rPr>
      </w:pPr>
      <w:r>
        <w:rPr>
          <w:rFonts w:hint="eastAsia"/>
        </w:rPr>
        <w:t xml:space="preserve">管道状态对象(PSO)</w:t>
      </w:r>
    </w:p>
    <w:p w14:paraId="18C6AABB" w14:textId="77777777" w:rsidR="008F18B8" w:rsidRDefault="00EF634D" w:rsidP="00E6537C">
      <w:pPr>
        <w:rPr>
          <w:rFonts w:hint="eastAsia"/>
        </w:rPr>
      </w:pPr>
      <w:r>
        <w:rPr>
          <w:rFonts w:hint="eastAsia"/>
        </w:rPr>
        <w:t xml:space="preserve">简单光照示例有两个唯一着色器组合：第一个是 TriangleVS 和 LambertPS，第二个是 TriangleVS 和 SolidColorPS。</w:t>
      </w:r>
      <w:r>
        <w:rPr>
          <w:rFonts w:hint="eastAsia"/>
        </w:rPr>
        <w:t xml:space="preserve">在 DirectX 12 中，您需要为每个唯一着色器组合创建管道状态对象 (PSO)。</w:t>
      </w:r>
      <w:r>
        <w:rPr>
          <w:rFonts w:hint="eastAsia"/>
        </w:rPr>
        <w:t xml:space="preserve">顾名思义，PSO 封装了使用一组特定着色器可能进行的多次绘制调用所需的所有管道状态。</w:t>
      </w:r>
      <w:r>
        <w:rPr>
          <w:rFonts w:hint="eastAsia"/>
        </w:rPr>
        <w:t xml:space="preserve">PSO 包括了根签名、管道各阶段的着色器、状态设置，如光栅器状态、深度模板状态、混合状态等（有关详细信息，请参阅 MSDN 上的文档。）</w:t>
      </w:r>
    </w:p>
    <w:p w14:paraId="18907737" w14:textId="77777777" w:rsidR="008F18B8" w:rsidRDefault="008F18B8" w:rsidP="00E6537C"/>
    <w:p w14:paraId="793A440E" w14:textId="77777777" w:rsidR="008F18B8" w:rsidRDefault="008F18B8" w:rsidP="008F18B8">
      <w:pPr>
        <w:pStyle w:val="Heading2"/>
        <w:rPr>
          <w:rFonts w:hint="eastAsia"/>
        </w:rPr>
      </w:pPr>
      <w:r>
        <w:rPr>
          <w:rFonts w:hint="eastAsia"/>
        </w:rPr>
        <w:t xml:space="preserve">根签名</w:t>
      </w:r>
    </w:p>
    <w:p w14:paraId="4B51CD70" w14:textId="77777777" w:rsidR="00E6537C" w:rsidRDefault="008F18B8" w:rsidP="008F18B8">
      <w:pPr>
        <w:rPr>
          <w:rFonts w:hint="eastAsia"/>
        </w:rPr>
      </w:pPr>
      <w:r>
        <w:rPr>
          <w:rFonts w:hint="eastAsia"/>
        </w:rPr>
        <w:t xml:space="preserve">根签名定义了与图形管道绑定的资源类型以及资源展示方式。</w:t>
      </w:r>
      <w:r>
        <w:rPr>
          <w:rFonts w:hint="eastAsia"/>
        </w:rPr>
        <w:t xml:space="preserve">根签名类似于 API 函数签名，其中描述了参数类型、参数顺序和排列，但未定义任何实际参数实例。</w:t>
      </w:r>
      <w:r>
        <w:rPr>
          <w:rFonts w:hint="eastAsia"/>
        </w:rPr>
        <w:t xml:space="preserve">根参数是与根签名元素相对应的实际数据的实例。</w:t>
      </w:r>
      <w:r>
        <w:rPr>
          <w:rFonts w:hint="eastAsia"/>
        </w:rPr>
        <w:t xml:space="preserve">对于本示例的顶点着色器，着色器常量只需要单个结构，因此根签名非常简单。</w:t>
      </w:r>
      <w:r>
        <w:rPr>
          <w:rFonts w:hint="eastAsia"/>
        </w:rPr>
        <w:t xml:space="preserve">根签名包含 ConstantBufferView 类型的单个根参数。</w:t>
      </w:r>
      <w:r>
        <w:rPr>
          <w:rFonts w:hint="eastAsia"/>
        </w:rPr>
        <w:t xml:space="preserve"> </w:t>
      </w:r>
    </w:p>
    <w:p w14:paraId="1C432160" w14:textId="77777777" w:rsidR="00EF634D" w:rsidRDefault="00EF634D" w:rsidP="00E6537C"/>
    <w:p w14:paraId="566411A0" w14:textId="77777777" w:rsidR="00EF634D" w:rsidRDefault="00EF634D" w:rsidP="00EF634D">
      <w:pPr>
        <w:pStyle w:val="Heading2"/>
        <w:rPr>
          <w:rFonts w:hint="eastAsia"/>
        </w:rPr>
      </w:pPr>
      <w:r>
        <w:rPr>
          <w:rFonts w:hint="eastAsia"/>
        </w:rPr>
        <w:t xml:space="preserve">几何</w:t>
      </w:r>
    </w:p>
    <w:p w14:paraId="58051857" w14:textId="77777777" w:rsidR="00EF634D" w:rsidRDefault="00172679" w:rsidP="00EF634D">
      <w:pPr>
        <w:pStyle w:val="Heading2"/>
        <w:rPr>
          <w:b w:val="0"/>
          <w:sz w:val="20"/>
          <w:szCs w:val="22"/>
          <w:rFonts w:eastAsiaTheme="minorHAnsi" w:cs="Times New Roman" w:hint="eastAsia"/>
        </w:rPr>
      </w:pPr>
      <w:r>
        <w:rPr>
          <w:b w:val="0"/>
          <w:sz w:val="20"/>
          <w:szCs w:val="22"/>
          <w:rFonts w:hint="eastAsia"/>
        </w:rPr>
        <w:t xml:space="preserve">此场景的几何结构由静态顶点和索引数组组成，其中包含表示立方体六个四边形的 24 个顶点的数据。</w:t>
      </w:r>
      <w:r>
        <w:rPr>
          <w:b w:val="0"/>
          <w:sz w:val="20"/>
          <w:szCs w:val="22"/>
          <w:rFonts w:hint="eastAsia"/>
        </w:rPr>
        <w:t xml:space="preserve">这两个数组在 Sample::CreateDeviceDependentResources 中声明，其中 ID3D12Device::CreateCommittedResource 立即将其用于为缓冲区创建 ID3D12Resources。</w:t>
      </w:r>
      <w:r>
        <w:rPr>
          <w:b w:val="0"/>
          <w:sz w:val="20"/>
          <w:szCs w:val="22"/>
          <w:rFonts w:hint="eastAsia"/>
        </w:rPr>
        <w:t xml:space="preserve">为简单起见，本示例使用 D3D12_HEAP_TYPE_UPLOAD，因为这可让您创建每个资源时只需单个步骤便可使用数据对其进行初始化。</w:t>
      </w:r>
      <w:r>
        <w:rPr>
          <w:b w:val="0"/>
          <w:sz w:val="20"/>
          <w:szCs w:val="22"/>
          <w:rFonts w:hint="eastAsia"/>
        </w:rPr>
        <w:t xml:space="preserve">但是，_UPLOAD 堆是几何数据的次优位置。</w:t>
      </w:r>
      <w:r>
        <w:rPr>
          <w:b w:val="0"/>
          <w:sz w:val="20"/>
          <w:szCs w:val="22"/>
          <w:rFonts w:hint="eastAsia"/>
        </w:rPr>
        <w:t xml:space="preserve">针对几何数据使用 D3D12_HEAP_TYPE_DEFAULT 是更高效的实现。</w:t>
      </w:r>
      <w:r>
        <w:rPr>
          <w:b w:val="0"/>
          <w:sz w:val="20"/>
          <w:szCs w:val="22"/>
          <w:rFonts w:hint="eastAsia"/>
        </w:rPr>
        <w:t xml:space="preserve">如要初始化 _DEFAULT 堆，您需要使用 _UPLOAD 堆，这样最终会使用两个堆，使得实现变得复杂。</w:t>
      </w:r>
    </w:p>
    <w:p w14:paraId="5683AD0D" w14:textId="77777777" w:rsidR="00AA1D44" w:rsidRDefault="00AA1D44" w:rsidP="00AA1D44"/>
    <w:p w14:paraId="1492B7B3" w14:textId="77777777" w:rsidR="00AA1D44" w:rsidRDefault="00AA1D44" w:rsidP="00AA1D44">
      <w:pPr>
        <w:rPr>
          <w:rFonts w:hint="eastAsia"/>
        </w:rPr>
      </w:pPr>
      <w:r>
        <w:rPr>
          <w:rFonts w:hint="eastAsia"/>
        </w:rPr>
        <w:t xml:space="preserve">创建几何结构缓冲区后，本示例可为顶点创建 D3D12_VERTEX_BUFFER_VIEW，为索引创建 D3D12_INDEX_BUFFER_VIEW。</w:t>
      </w:r>
      <w:r>
        <w:rPr>
          <w:rFonts w:hint="eastAsia"/>
        </w:rPr>
        <w:t xml:space="preserve">通过调用 ID3D12GraphicsCommandList::IASetVertextBuffer 和 ID3D12GraphicsCommandList::IASetVertextBuffer 设置输入装配时，Sample::Render 中会使用这些视图。</w:t>
      </w:r>
    </w:p>
    <w:p w14:paraId="5B9DF7B0" w14:textId="77777777" w:rsidR="00AA1D44" w:rsidRDefault="00AA1D44" w:rsidP="00AA1D44"/>
    <w:p w14:paraId="5633F47A" w14:textId="77777777" w:rsidR="00AA1D44" w:rsidRDefault="008F18B8" w:rsidP="00AA1D44">
      <w:pPr>
        <w:pStyle w:val="Heading2"/>
        <w:rPr>
          <w:rFonts w:hint="eastAsia"/>
        </w:rPr>
      </w:pPr>
      <w:r>
        <w:rPr>
          <w:rFonts w:hint="eastAsia"/>
        </w:rPr>
        <w:t xml:space="preserve">管理着色器常量</w:t>
      </w:r>
    </w:p>
    <w:p w14:paraId="2236C87C" w14:textId="77777777" w:rsidR="00172679" w:rsidRPr="00AD6789" w:rsidRDefault="00AA1D44" w:rsidP="00AA1D44">
      <w:pPr>
        <w:rPr>
          <w:rFonts w:cs="Segoe UI" w:hint="eastAsia"/>
        </w:rPr>
      </w:pPr>
      <w:r>
        <w:rPr>
          <w:rFonts w:hint="eastAsia"/>
        </w:rPr>
        <w:t xml:space="preserve">对于这个非常简单的场景，所有着色器常量都集中在一个包含以下内容的常量缓冲区中：</w:t>
      </w:r>
    </w:p>
    <w:p w14:paraId="2AB6008F" w14:textId="77777777" w:rsidR="00172679" w:rsidRPr="00954F86"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世界，视图和投影矩阵</w:t>
      </w:r>
    </w:p>
    <w:p w14:paraId="23403AAE" w14:textId="77777777" w:rsidR="00172679"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光线方向和颜色</w:t>
      </w:r>
    </w:p>
    <w:p w14:paraId="7217D8AF" w14:textId="77777777" w:rsidR="00172679" w:rsidRPr="00954F86"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纯色</w:t>
      </w:r>
    </w:p>
    <w:p w14:paraId="17E0A99D" w14:textId="77777777" w:rsidR="00F65601" w:rsidRDefault="00F65601" w:rsidP="00172679">
      <w:pPr>
        <w:spacing w:before="144" w:after="144"/>
        <w:rPr>
          <w:rFonts w:cs="Segoe UI" w:hint="eastAsia"/>
        </w:rPr>
      </w:pPr>
      <w:r>
        <w:rPr>
          <w:rFonts w:hint="eastAsia"/>
        </w:rPr>
        <w:t xml:space="preserve">对于更复杂的场景，通常会根据常量更新的频率将常量拆分为多个缓冲区。</w:t>
      </w:r>
      <w:r>
        <w:rPr>
          <w:rFonts w:hint="eastAsia"/>
        </w:rPr>
        <w:t xml:space="preserve"> </w:t>
      </w:r>
    </w:p>
    <w:p w14:paraId="20D79F37" w14:textId="77777777" w:rsidR="00236B25" w:rsidRDefault="00172679" w:rsidP="00AA1D44">
      <w:pPr>
        <w:spacing w:before="144" w:after="144"/>
        <w:rPr>
          <w:rFonts w:cs="Segoe UI" w:hint="eastAsia"/>
        </w:rPr>
      </w:pPr>
      <w:r>
        <w:rPr>
          <w:rFonts w:hint="eastAsia"/>
        </w:rPr>
        <w:t xml:space="preserve">大立方体和红灯均为动态，因此着色器常量需要在绘制调用之间每帧更新多次。</w:t>
      </w:r>
      <w:r>
        <w:rPr>
          <w:rFonts w:hint="eastAsia"/>
        </w:rPr>
        <w:t xml:space="preserve">回想一下，根签名包含一个 ConstantBufferView 类型的根参数，该参数需要引用着色器常量的副本，以便用于每次绘制调用。</w:t>
      </w:r>
      <w:r>
        <w:rPr>
          <w:rFonts w:hint="eastAsia"/>
        </w:rPr>
        <w:t xml:space="preserve">CPU 和 GPU 并行运行，因此 CPU 不应尝试更新任何缓冲区直至 GPU 结束使用。</w:t>
      </w:r>
      <w:r>
        <w:rPr>
          <w:rFonts w:hint="eastAsia"/>
        </w:rPr>
        <w:t xml:space="preserve">如果只有一个常量缓冲区，则在 GPU 完成绘制前必须阻塞 CPU，这不现实，因为常量需要针对多个绘制调用更新。</w:t>
      </w:r>
      <w:r>
        <w:rPr>
          <w:rFonts w:hint="eastAsia"/>
        </w:rPr>
        <w:t xml:space="preserve">因此，本示例使用了多个常量缓冲区，以便 CPU 可在 GPU 绘制时继续向 GPU 发送常量。</w:t>
      </w:r>
    </w:p>
    <w:p w14:paraId="0B03B6C8" w14:textId="77777777" w:rsidR="000264E0" w:rsidRDefault="00236B25" w:rsidP="00AA1D44">
      <w:pPr>
        <w:spacing w:before="144" w:after="144"/>
        <w:rPr>
          <w:rFonts w:cs="Segoe UI" w:hint="eastAsia"/>
        </w:rPr>
      </w:pPr>
      <w:r>
        <w:rPr>
          <w:rFonts w:hint="eastAsia"/>
        </w:rPr>
        <w:t xml:space="preserve">本示例很简单，每帧的绘制调用数量固定，该数量在编译时为已知。</w:t>
      </w:r>
      <w:r>
        <w:rPr>
          <w:rFonts w:hint="eastAsia"/>
        </w:rPr>
        <w:t xml:space="preserve">本示例为每个绘制调用创建一个缓冲区，乘以交换链中的后台缓冲区数。</w:t>
      </w:r>
      <w:r>
        <w:rPr>
          <w:rFonts w:hint="eastAsia"/>
        </w:rPr>
        <w:t xml:space="preserve">这个数量可确保始终存在空闲缓冲区可供 CPU 写入。</w:t>
      </w:r>
      <w:r>
        <w:rPr>
          <w:rFonts w:hint="eastAsia"/>
        </w:rPr>
        <w:t xml:space="preserve">所有常量缓冲区均储存在 Sample::CreateDeviceDependentResources 中创建的单个连续上传缓冲区中。</w:t>
      </w:r>
      <w:r>
        <w:rPr>
          <w:rFonts w:hint="eastAsia"/>
        </w:rPr>
        <w:t xml:space="preserve">上传缓冲区立即被映射以获取 CPU 地址空间和 GPU 地址空间的基本内存地址。</w:t>
      </w:r>
    </w:p>
    <w:p w14:paraId="2887DA2B" w14:textId="77777777" w:rsidR="00236B25" w:rsidRDefault="00236B25" w:rsidP="00AA1D44">
      <w:pPr>
        <w:spacing w:before="144" w:after="144"/>
        <w:rPr>
          <w:rFonts w:hint="eastAsia"/>
        </w:rPr>
      </w:pPr>
      <w:r>
        <w:rPr>
          <w:rFonts w:hint="eastAsia"/>
        </w:rPr>
        <w:t xml:space="preserve">在 Sample::Render 方法中，常量被写入到根据常量上传堆 CPU 基址建立索引的位置。</w:t>
      </w:r>
      <w:r>
        <w:rPr>
          <w:rFonts w:hint="eastAsia"/>
        </w:rPr>
        <w:t xml:space="preserve">相同的索引加上 GPU 地址，通过调用 ID3D12GraphicsCommandList::SetGraphicsRootConstantBufferView 将缓冲区绑定到管道。</w:t>
      </w:r>
      <w:r>
        <w:rPr>
          <w:rFonts w:hint="eastAsia"/>
        </w:rPr>
        <w:t xml:space="preserve">该索引必须考虑后台缓冲区节奏以及绘制计数。</w:t>
      </w:r>
      <w:r>
        <w:rPr>
          <w:rFonts w:hint="eastAsia"/>
        </w:rPr>
        <w:t xml:space="preserve">如欲了解更多详细信息，请参阅 Sample::Render 的实现。</w:t>
      </w:r>
    </w:p>
    <w:p w14:paraId="7EC97058" w14:textId="77777777" w:rsidR="003A7CD3" w:rsidRDefault="003A7CD3" w:rsidP="003A7CD3">
      <w:pPr>
        <w:pStyle w:val="Heading2"/>
        <w:rPr>
          <w:rFonts w:hint="eastAsia"/>
        </w:rPr>
      </w:pPr>
      <w:r>
        <w:rPr>
          <w:rFonts w:hint="eastAsia"/>
        </w:rPr>
        <w:t xml:space="preserve">CPU/GPU 同步</w:t>
      </w:r>
    </w:p>
    <w:p w14:paraId="10E7E02D" w14:textId="77777777" w:rsidR="003A7CD3" w:rsidRPr="003A7CD3" w:rsidRDefault="003A7CD3" w:rsidP="003A7CD3">
      <w:pPr>
        <w:rPr>
          <w:rFonts w:hint="eastAsia"/>
        </w:rPr>
      </w:pPr>
      <w:r>
        <w:rPr>
          <w:rFonts w:hint="eastAsia"/>
        </w:rPr>
        <w:t xml:space="preserve">如果 CPU 向 GPU 发送命令列表的速度超过了 GPU 处理命令的速度，那么最终 CPU 需要等待 GPU 完成。</w:t>
      </w:r>
      <w:r>
        <w:rPr>
          <w:rFonts w:hint="eastAsia"/>
        </w:rPr>
        <w:t xml:space="preserve">本示例以轮循方式使用常量缓冲内存，这意味着缓冲槽将在固定时段后重用。</w:t>
      </w:r>
      <w:r>
        <w:rPr>
          <w:rFonts w:hint="eastAsia"/>
        </w:rPr>
        <w:t xml:space="preserve">通常，在重用共享资源之前，需要使用某种同步策略确保该资源未在使用中。</w:t>
      </w:r>
      <w:r>
        <w:rPr>
          <w:rFonts w:hint="eastAsia"/>
        </w:rPr>
        <w:t xml:space="preserve">  </w:t>
      </w:r>
      <w:r>
        <w:rPr>
          <w:rFonts w:hint="eastAsia"/>
        </w:rPr>
        <w:t xml:space="preserve">本示例使用 ID3D12Fence 以同步 CPU 和 GPU。</w:t>
      </w:r>
      <w:r>
        <w:rPr>
          <w:rFonts w:hint="eastAsia"/>
        </w:rPr>
        <w:t xml:space="preserve">CPU 将一个命令插入命令队列，以使用帧索引值“发信号通知”fence 对象。</w:t>
      </w:r>
      <w:r>
        <w:rPr>
          <w:rFonts w:hint="eastAsia"/>
        </w:rPr>
        <w:t xml:space="preserve">GPU 上处理了信号命令后，所提供的帧索引值将立即对 CPU 可见。</w:t>
      </w:r>
      <w:r>
        <w:rPr>
          <w:rFonts w:hint="eastAsia"/>
        </w:rPr>
        <w:t xml:space="preserve">这样，CPU 能够将当前帧索引与由 GPU 发信号通知的最后帧索引进行比较，以确定 GPU 相对于 CPU 的落后差距。</w:t>
      </w:r>
      <w:r>
        <w:rPr>
          <w:rFonts w:hint="eastAsia"/>
        </w:rPr>
        <w:t xml:space="preserve">如果 GPU 帧计数和 CPU 帧计数之间的差异超过了后台缓冲区数量，则 CPU 将需要等待。</w:t>
      </w:r>
      <w:r>
        <w:rPr>
          <w:rFonts w:hint="eastAsia"/>
        </w:rPr>
        <w:t xml:space="preserve"> </w:t>
      </w:r>
    </w:p>
    <w:p w14:paraId="2A8FC9BC" w14:textId="77777777" w:rsidR="003D3EF7" w:rsidRDefault="003D3EF7" w:rsidP="003D3EF7">
      <w:pPr>
        <w:pStyle w:val="Heading1"/>
        <w:rPr>
          <w:rFonts w:hint="eastAsia"/>
        </w:rPr>
      </w:pPr>
      <w:r>
        <w:rPr>
          <w:rFonts w:hint="eastAsia"/>
        </w:rPr>
        <w:t xml:space="preserve">更新历史记录</w:t>
      </w:r>
    </w:p>
    <w:p w14:paraId="693AEB4A" w14:textId="77777777" w:rsidR="003D3EF7" w:rsidRDefault="008162BD" w:rsidP="008162BD">
      <w:pPr>
        <w:rPr>
          <w:rFonts w:hint="eastAsia"/>
        </w:rPr>
      </w:pPr>
      <w:r>
        <w:rPr>
          <w:rFonts w:hint="eastAsia"/>
        </w:rPr>
        <w:t xml:space="preserve">2016 年 5 月，已弃用 ATG 示例框架的所有依赖项删除。</w:t>
      </w:r>
    </w:p>
    <w:p w14:paraId="1461665A" w14:textId="45636EA2" w:rsidR="00E6537C" w:rsidRPr="00EB7866" w:rsidRDefault="00E6537C" w:rsidP="008162BD">
      <w:pPr>
        <w:rPr>
          <w:rFonts w:hint="eastAsia"/>
        </w:rPr>
      </w:pPr>
      <w:r>
        <w:rPr>
          <w:rFonts w:hint="eastAsia"/>
        </w:rPr>
        <w:t xml:space="preserve">2016 年 6 月，DirectX 12 版本创建。</w:t>
      </w:r>
      <w:r>
        <w:rPr>
          <w:rFonts w:hint="eastAsia"/>
        </w:rPr>
        <w:t xml:space="preserve">2017 年 4 月，它更新为在 Xbox One X 上运行时支持 4k 交换链。</w:t>
      </w:r>
    </w:p>
    <w:p w14:paraId="77A056D2" w14:textId="77777777" w:rsidR="00575766" w:rsidRDefault="00575766" w:rsidP="00331038"/>
    <w:p w14:paraId="5D2FA51B" w14:textId="77777777" w:rsidR="004C3A34" w:rsidRDefault="004C3A34" w:rsidP="004C3A34">
      <w:pPr>
        <w:pStyle w:val="Heading1"/>
        <w:rPr>
          <w:rFonts w:hint="eastAsia"/>
        </w:rPr>
      </w:pPr>
      <w:r>
        <w:rPr>
          <w:rFonts w:hint="eastAsia"/>
        </w:rPr>
        <w:t xml:space="preserve">隐私声明</w:t>
      </w:r>
    </w:p>
    <w:p w14:paraId="07DDEF87" w14:textId="77777777" w:rsidR="004C3A34" w:rsidRDefault="004C3A34" w:rsidP="004C3A34">
      <w:pPr>
        <w:rPr>
          <w:szCs w:val="20"/>
          <w:rFonts w:cs="Segoe UI"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14:paraId="683AC50A" w14:textId="77777777" w:rsidR="004C3A34" w:rsidRDefault="004C3A34" w:rsidP="004C3A34">
      <w:pPr>
        <w:rPr>
          <w:rFonts w:cs="Segoe UI"/>
          <w:szCs w:val="20"/>
        </w:rPr>
      </w:pPr>
    </w:p>
    <w:p w14:paraId="31A5F6E9" w14:textId="77777777" w:rsidR="004C3A34" w:rsidRDefault="004C3A34" w:rsidP="004C3A34">
      <w:pPr>
        <w:rPr>
          <w:szCs w:val="20"/>
          <w:rFonts w:cs="Segoe UI" w:hint="eastAsia"/>
        </w:rPr>
      </w:pPr>
      <w:r>
        <w:rPr>
          <w:rFonts w:hint="eastAsia"/>
        </w:rPr>
        <w:t xml:space="preserve">有关 Microsoft 隐私政策的更多信息，请参阅 </w:t>
      </w:r>
      <w:hyperlink r:id="rId10" w:history="1">
        <w:r>
          <w:rPr>
            <w:rStyle w:val="Hyperlink"/>
            <w:rFonts w:hint="eastAsia"/>
          </w:rPr>
          <w:t xml:space="preserve">Microsoft 隐私声明</w:t>
        </w:r>
      </w:hyperlink>
      <w:r>
        <w:rPr>
          <w:rFonts w:hint="eastAsia"/>
        </w:rPr>
        <w:t xml:space="preserve">。</w:t>
      </w:r>
    </w:p>
    <w:p w14:paraId="46FE2029" w14:textId="77777777" w:rsidR="004C3A34" w:rsidRPr="00331038" w:rsidRDefault="004C3A34" w:rsidP="00331038"/>
    <w:sectPr w:rsidR="004C3A34"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42ABB" w14:textId="77777777" w:rsidR="00FF69E1" w:rsidRDefault="00FF69E1" w:rsidP="0074610F">
      <w:r>
        <w:separator/>
      </w:r>
    </w:p>
  </w:endnote>
  <w:endnote w:type="continuationSeparator" w:id="0">
    <w:p w14:paraId="19C48F7C" w14:textId="77777777" w:rsidR="00FF69E1" w:rsidRDefault="00FF69E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2CD0B" w14:textId="77777777" w:rsidR="00761D94" w:rsidRDefault="00761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10A4BF3" w14:textId="77777777" w:rsidTr="00E37847">
      <w:tc>
        <w:tcPr>
          <w:tcW w:w="4500" w:type="pct"/>
          <w:tcBorders>
            <w:top w:val="single" w:sz="4" w:space="0" w:color="808080" w:themeColor="background1" w:themeShade="80"/>
          </w:tcBorders>
          <w:shd w:val="clear" w:color="auto" w:fill="auto"/>
        </w:tcPr>
        <w:p w14:paraId="258A7486" w14:textId="77777777" w:rsidR="00843058" w:rsidRPr="00097CCA" w:rsidRDefault="00683D94" w:rsidP="00D04E02">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14:anchorId="32F5E8C5" wp14:editId="1EEFA7A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761D94">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SimpleLighting12</w:t>
          </w:r>
        </w:p>
      </w:tc>
      <w:tc>
        <w:tcPr>
          <w:tcW w:w="500" w:type="pct"/>
          <w:tcBorders>
            <w:top w:val="single" w:sz="4" w:space="0" w:color="808080" w:themeColor="background1" w:themeShade="80"/>
          </w:tcBorders>
          <w:shd w:val="clear" w:color="auto" w:fill="auto"/>
        </w:tcPr>
        <w:p w14:paraId="4BA4EC4E"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4F4238">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14:paraId="53105410"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1E0C278" w14:textId="77777777" w:rsidTr="00F70459">
      <w:tc>
        <w:tcPr>
          <w:tcW w:w="4500" w:type="pct"/>
          <w:tcBorders>
            <w:top w:val="single" w:sz="4" w:space="0" w:color="808080" w:themeColor="background1" w:themeShade="80"/>
          </w:tcBorders>
          <w:shd w:val="clear" w:color="auto" w:fill="auto"/>
        </w:tcPr>
        <w:p w14:paraId="1E81BB13" w14:textId="77777777"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761D94">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1041B13E" wp14:editId="433958B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14:paraId="71F2923A"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269131C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68256" w14:textId="77777777" w:rsidR="00FF69E1" w:rsidRDefault="00FF69E1" w:rsidP="0074610F">
      <w:r>
        <w:separator/>
      </w:r>
    </w:p>
  </w:footnote>
  <w:footnote w:type="continuationSeparator" w:id="0">
    <w:p w14:paraId="5F0EB75C" w14:textId="77777777" w:rsidR="00FF69E1" w:rsidRDefault="00FF69E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C8127" w14:textId="77777777" w:rsidR="00761D94" w:rsidRDefault="00761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501D2" w14:textId="77777777" w:rsidR="00761D94" w:rsidRDefault="00761D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842B336" w14:textId="77777777" w:rsidTr="000B6D5E">
      <w:trPr>
        <w:trHeight w:val="1340"/>
      </w:trPr>
      <w:tc>
        <w:tcPr>
          <w:tcW w:w="12240" w:type="dxa"/>
          <w:tcBorders>
            <w:top w:val="nil"/>
            <w:left w:val="nil"/>
            <w:bottom w:val="nil"/>
            <w:right w:val="nil"/>
          </w:tcBorders>
          <w:shd w:val="clear" w:color="auto" w:fill="323232"/>
        </w:tcPr>
        <w:p w14:paraId="233EE21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B237967" w14:textId="77777777" w:rsidTr="000B6D5E">
            <w:trPr>
              <w:gridAfter w:val="2"/>
              <w:wAfter w:w="2008" w:type="dxa"/>
            </w:trPr>
            <w:tc>
              <w:tcPr>
                <w:tcW w:w="1152" w:type="dxa"/>
                <w:shd w:val="clear" w:color="auto" w:fill="323232"/>
              </w:tcPr>
              <w:p w14:paraId="3E747BD9" w14:textId="77777777" w:rsidR="000B6D5E" w:rsidRDefault="000B6D5E" w:rsidP="00CF3729">
                <w:pPr>
                  <w:pStyle w:val="atgtitle"/>
                  <w:rPr>
                    <w:sz w:val="2"/>
                    <w:szCs w:val="2"/>
                  </w:rPr>
                </w:pPr>
              </w:p>
              <w:p w14:paraId="15C01877" w14:textId="77777777" w:rsidR="000B6D5E" w:rsidRPr="000B6D5E" w:rsidRDefault="000B6D5E" w:rsidP="000B6D5E"/>
              <w:p w14:paraId="05773E8A" w14:textId="77777777" w:rsidR="000B6D5E" w:rsidRDefault="000B6D5E" w:rsidP="000B6D5E"/>
              <w:p w14:paraId="4AA6D52D" w14:textId="77777777" w:rsidR="000B6D5E" w:rsidRPr="000B6D5E" w:rsidRDefault="000B6D5E" w:rsidP="000B6D5E">
                <w:pPr>
                  <w:jc w:val="center"/>
                </w:pPr>
              </w:p>
            </w:tc>
            <w:tc>
              <w:tcPr>
                <w:tcW w:w="19" w:type="dxa"/>
                <w:shd w:val="clear" w:color="auto" w:fill="323232"/>
              </w:tcPr>
              <w:p w14:paraId="7D4CFD2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D98D142" w14:textId="77777777" w:rsidR="000B6D5E" w:rsidRDefault="000B6D5E" w:rsidP="00CF3729">
                <w:pPr>
                  <w:pStyle w:val="atgtitle"/>
                  <w:rPr>
                    <w:sz w:val="2"/>
                    <w:szCs w:val="2"/>
                  </w:rPr>
                </w:pPr>
              </w:p>
              <w:p w14:paraId="3AA08FD8" w14:textId="77777777" w:rsidR="000B6D5E" w:rsidRDefault="000B6D5E" w:rsidP="00CF3729">
                <w:pPr>
                  <w:pStyle w:val="atgtitle"/>
                  <w:rPr>
                    <w:sz w:val="2"/>
                    <w:szCs w:val="2"/>
                  </w:rPr>
                </w:pPr>
              </w:p>
              <w:p w14:paraId="3CBB1428" w14:textId="77777777" w:rsidR="000B6D5E" w:rsidRDefault="000B6D5E" w:rsidP="00CF3729">
                <w:pPr>
                  <w:pStyle w:val="atgtitle"/>
                  <w:rPr>
                    <w:sz w:val="2"/>
                    <w:szCs w:val="2"/>
                  </w:rPr>
                </w:pPr>
              </w:p>
              <w:p w14:paraId="70010F55" w14:textId="77777777" w:rsidR="000B6D5E" w:rsidRDefault="000B6D5E" w:rsidP="00CF3729">
                <w:pPr>
                  <w:pStyle w:val="atgtitle"/>
                  <w:rPr>
                    <w:sz w:val="2"/>
                    <w:szCs w:val="2"/>
                  </w:rPr>
                </w:pPr>
              </w:p>
              <w:p w14:paraId="73B610AF" w14:textId="77777777" w:rsidR="000B6D5E" w:rsidRDefault="000B6D5E" w:rsidP="00CF3729">
                <w:pPr>
                  <w:pStyle w:val="atgtitle"/>
                  <w:rPr>
                    <w:sz w:val="2"/>
                    <w:szCs w:val="2"/>
                  </w:rPr>
                </w:pPr>
              </w:p>
              <w:p w14:paraId="2AAAFD7D" w14:textId="77777777" w:rsidR="000B6D5E" w:rsidRDefault="000B6D5E" w:rsidP="00CF3729">
                <w:pPr>
                  <w:pStyle w:val="atgtitle"/>
                  <w:rPr>
                    <w:sz w:val="2"/>
                    <w:szCs w:val="2"/>
                  </w:rPr>
                </w:pPr>
              </w:p>
              <w:p w14:paraId="7CCB7E3F" w14:textId="77777777" w:rsidR="000B6D5E" w:rsidRDefault="000B6D5E" w:rsidP="00CF3729">
                <w:pPr>
                  <w:pStyle w:val="atgtitle"/>
                  <w:rPr>
                    <w:sz w:val="2"/>
                    <w:szCs w:val="2"/>
                  </w:rPr>
                </w:pPr>
              </w:p>
              <w:p w14:paraId="25B72EEC" w14:textId="77777777" w:rsidR="000B6D5E" w:rsidRDefault="000B6D5E" w:rsidP="00CF3729">
                <w:pPr>
                  <w:pStyle w:val="atgtitle"/>
                  <w:rPr>
                    <w:sz w:val="2"/>
                    <w:szCs w:val="2"/>
                  </w:rPr>
                </w:pPr>
              </w:p>
              <w:p w14:paraId="7F8FED45" w14:textId="77777777" w:rsidR="000B6D5E" w:rsidRDefault="000B6D5E" w:rsidP="00CF3729">
                <w:pPr>
                  <w:pStyle w:val="atgtitle"/>
                  <w:rPr>
                    <w:sz w:val="2"/>
                    <w:szCs w:val="2"/>
                  </w:rPr>
                </w:pPr>
              </w:p>
              <w:p w14:paraId="4F8E7297" w14:textId="77777777" w:rsidR="000B6D5E" w:rsidRDefault="000B6D5E" w:rsidP="00CF3729">
                <w:pPr>
                  <w:pStyle w:val="atgtitle"/>
                  <w:rPr>
                    <w:sz w:val="2"/>
                    <w:szCs w:val="2"/>
                  </w:rPr>
                </w:pPr>
              </w:p>
              <w:p w14:paraId="26CEF4E2" w14:textId="77777777" w:rsidR="000B6D5E" w:rsidRDefault="000B6D5E" w:rsidP="00CF3729">
                <w:pPr>
                  <w:pStyle w:val="atgtitle"/>
                  <w:rPr>
                    <w:sz w:val="2"/>
                    <w:szCs w:val="2"/>
                  </w:rPr>
                </w:pPr>
              </w:p>
              <w:p w14:paraId="6C953666" w14:textId="77777777" w:rsidR="000B6D5E" w:rsidRDefault="000B6D5E" w:rsidP="00CF3729">
                <w:pPr>
                  <w:pStyle w:val="atgtitle"/>
                  <w:rPr>
                    <w:sz w:val="2"/>
                    <w:szCs w:val="2"/>
                  </w:rPr>
                </w:pPr>
              </w:p>
              <w:p w14:paraId="3354DF04" w14:textId="77777777" w:rsidR="000B6D5E" w:rsidRDefault="000B6D5E" w:rsidP="00CF3729">
                <w:pPr>
                  <w:pStyle w:val="atgtitle"/>
                  <w:rPr>
                    <w:sz w:val="2"/>
                    <w:szCs w:val="2"/>
                  </w:rPr>
                </w:pPr>
              </w:p>
              <w:p w14:paraId="59FC6EF3" w14:textId="77777777" w:rsidR="000B6D5E" w:rsidRDefault="000B6D5E" w:rsidP="00CF3729">
                <w:pPr>
                  <w:pStyle w:val="atgtitle"/>
                  <w:rPr>
                    <w:sz w:val="2"/>
                    <w:szCs w:val="2"/>
                  </w:rPr>
                </w:pPr>
              </w:p>
              <w:p w14:paraId="44393998" w14:textId="77777777" w:rsidR="000B6D5E" w:rsidRDefault="000B6D5E" w:rsidP="00CF3729">
                <w:pPr>
                  <w:pStyle w:val="atgtitle"/>
                  <w:rPr>
                    <w:sz w:val="2"/>
                    <w:szCs w:val="2"/>
                  </w:rPr>
                </w:pPr>
              </w:p>
              <w:p w14:paraId="62634379" w14:textId="77777777" w:rsidR="000B6D5E" w:rsidRDefault="000B6D5E" w:rsidP="00CF3729">
                <w:pPr>
                  <w:pStyle w:val="atgtitle"/>
                  <w:rPr>
                    <w:sz w:val="2"/>
                    <w:szCs w:val="2"/>
                  </w:rPr>
                </w:pPr>
              </w:p>
              <w:p w14:paraId="15206F32" w14:textId="77777777" w:rsidR="000B6D5E" w:rsidRDefault="000B6D5E" w:rsidP="00CF3729">
                <w:pPr>
                  <w:pStyle w:val="atgtitle"/>
                  <w:rPr>
                    <w:sz w:val="2"/>
                    <w:szCs w:val="2"/>
                  </w:rPr>
                </w:pPr>
              </w:p>
              <w:p w14:paraId="18569CC5" w14:textId="77777777" w:rsidR="000B6D5E" w:rsidRDefault="000B6D5E" w:rsidP="00CF3729">
                <w:pPr>
                  <w:pStyle w:val="atgtitle"/>
                  <w:rPr>
                    <w:sz w:val="2"/>
                    <w:szCs w:val="2"/>
                  </w:rPr>
                </w:pPr>
              </w:p>
              <w:p w14:paraId="4DC8EF9B" w14:textId="77777777" w:rsidR="000B6D5E" w:rsidRPr="00CF3729" w:rsidRDefault="000B6D5E" w:rsidP="00CF3729">
                <w:pPr>
                  <w:pStyle w:val="atgtitle"/>
                  <w:rPr>
                    <w:sz w:val="2"/>
                    <w:szCs w:val="2"/>
                    <w:rFonts w:hint="eastAsia"/>
                  </w:rPr>
                </w:pPr>
                <w:r>
                  <w:rPr>
                    <w:sz w:val="2"/>
                    <w:szCs w:val="2"/>
                    <w:rFonts w:hint="eastAsia"/>
                  </w:rPr>
                  <w:t xml:space="preserve">         </w:t>
                </w:r>
              </w:p>
              <w:p w14:paraId="309CF66F" w14:textId="77777777" w:rsidR="000B6D5E" w:rsidRPr="00CF3729" w:rsidRDefault="000B6D5E" w:rsidP="00CF3729">
                <w:pPr>
                  <w:rPr>
                    <w:sz w:val="2"/>
                    <w:szCs w:val="2"/>
                    <w:rFonts w:hint="eastAsia"/>
                  </w:rPr>
                </w:pPr>
                <w:r>
                  <w:rPr>
                    <w:rFonts w:hint="eastAsia"/>
                  </w:rPr>
                  <w:drawing>
                    <wp:inline distT="0" distB="0" distL="0" distR="0" wp14:anchorId="6AFEB210" wp14:editId="4802033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0A6D419" w14:textId="77777777" w:rsidR="000B6D5E" w:rsidRPr="00CF3729" w:rsidRDefault="000B6D5E" w:rsidP="00CF3729">
                <w:pPr>
                  <w:rPr>
                    <w:sz w:val="2"/>
                    <w:szCs w:val="2"/>
                  </w:rPr>
                </w:pPr>
              </w:p>
            </w:tc>
          </w:tr>
          <w:tr w:rsidR="000B6D5E" w:rsidRPr="00CF3729" w14:paraId="3BA1A9D6" w14:textId="77777777" w:rsidTr="000B6D5E">
            <w:trPr>
              <w:trHeight w:val="90"/>
            </w:trPr>
            <w:tc>
              <w:tcPr>
                <w:tcW w:w="1152" w:type="dxa"/>
                <w:shd w:val="clear" w:color="auto" w:fill="323232"/>
              </w:tcPr>
              <w:p w14:paraId="4AF558B5" w14:textId="77777777" w:rsidR="000B6D5E" w:rsidRPr="00CF3729" w:rsidRDefault="000B6D5E" w:rsidP="00CF3729">
                <w:pPr>
                  <w:pStyle w:val="atgformheaders"/>
                  <w:rPr>
                    <w:sz w:val="2"/>
                    <w:szCs w:val="2"/>
                  </w:rPr>
                </w:pPr>
              </w:p>
            </w:tc>
            <w:tc>
              <w:tcPr>
                <w:tcW w:w="2027" w:type="dxa"/>
                <w:gridSpan w:val="2"/>
                <w:shd w:val="clear" w:color="auto" w:fill="323232"/>
              </w:tcPr>
              <w:p w14:paraId="4158EDF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BAF2C1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A3B9A77"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43FD5214" w14:textId="77777777" w:rsidR="00CF3729" w:rsidRPr="00CF3729" w:rsidRDefault="00CF3729">
          <w:pPr>
            <w:pStyle w:val="Header"/>
            <w:rPr>
              <w:sz w:val="2"/>
              <w:szCs w:val="2"/>
            </w:rPr>
          </w:pPr>
        </w:p>
      </w:tc>
    </w:tr>
  </w:tbl>
  <w:p w14:paraId="61E218AC" w14:textId="77777777" w:rsidR="00CF3729" w:rsidRDefault="00CF3729">
    <w:pPr>
      <w:pStyle w:val="Header"/>
      <w:rPr>
        <w:sz w:val="2"/>
        <w:szCs w:val="2"/>
      </w:rPr>
    </w:pPr>
  </w:p>
  <w:p w14:paraId="39D97A91" w14:textId="77777777" w:rsidR="000B6D5E" w:rsidRDefault="000B6D5E">
    <w:pPr>
      <w:pStyle w:val="Header"/>
      <w:rPr>
        <w:sz w:val="2"/>
        <w:szCs w:val="2"/>
      </w:rPr>
    </w:pPr>
  </w:p>
  <w:p w14:paraId="673FDEB8" w14:textId="77777777" w:rsidR="000B6D5E" w:rsidRDefault="000B6D5E">
    <w:pPr>
      <w:pStyle w:val="Header"/>
      <w:rPr>
        <w:sz w:val="2"/>
        <w:szCs w:val="2"/>
      </w:rPr>
    </w:pPr>
  </w:p>
  <w:p w14:paraId="18503514" w14:textId="77777777" w:rsidR="000B6D5E" w:rsidRDefault="000B6D5E">
    <w:pPr>
      <w:pStyle w:val="Header"/>
      <w:rPr>
        <w:sz w:val="2"/>
        <w:szCs w:val="2"/>
      </w:rPr>
    </w:pPr>
  </w:p>
  <w:p w14:paraId="5810F9E2" w14:textId="77777777" w:rsidR="000B6D5E" w:rsidRDefault="000B6D5E">
    <w:pPr>
      <w:pStyle w:val="Header"/>
      <w:rPr>
        <w:sz w:val="2"/>
        <w:szCs w:val="2"/>
      </w:rPr>
    </w:pPr>
  </w:p>
  <w:p w14:paraId="1E4F4718" w14:textId="77777777" w:rsidR="000B6D5E" w:rsidRDefault="000B6D5E">
    <w:pPr>
      <w:pStyle w:val="Header"/>
      <w:rPr>
        <w:sz w:val="2"/>
        <w:szCs w:val="2"/>
      </w:rPr>
    </w:pPr>
  </w:p>
  <w:p w14:paraId="62671E1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97CCA"/>
    <w:rsid w:val="000B6D5E"/>
    <w:rsid w:val="00150ED8"/>
    <w:rsid w:val="001724A4"/>
    <w:rsid w:val="00172679"/>
    <w:rsid w:val="00197D00"/>
    <w:rsid w:val="001C132C"/>
    <w:rsid w:val="00203869"/>
    <w:rsid w:val="00236B25"/>
    <w:rsid w:val="0024713D"/>
    <w:rsid w:val="002741D2"/>
    <w:rsid w:val="002748E9"/>
    <w:rsid w:val="00281D12"/>
    <w:rsid w:val="00287A4C"/>
    <w:rsid w:val="00294A1B"/>
    <w:rsid w:val="002A196F"/>
    <w:rsid w:val="002E7BBB"/>
    <w:rsid w:val="00303D44"/>
    <w:rsid w:val="00321170"/>
    <w:rsid w:val="00331038"/>
    <w:rsid w:val="0034473D"/>
    <w:rsid w:val="00355166"/>
    <w:rsid w:val="003A7CD3"/>
    <w:rsid w:val="003D3244"/>
    <w:rsid w:val="003D3EF7"/>
    <w:rsid w:val="00413103"/>
    <w:rsid w:val="00425592"/>
    <w:rsid w:val="004960B0"/>
    <w:rsid w:val="004A6BDA"/>
    <w:rsid w:val="004B7DDA"/>
    <w:rsid w:val="004C3A34"/>
    <w:rsid w:val="004D633C"/>
    <w:rsid w:val="004E54F5"/>
    <w:rsid w:val="004F4238"/>
    <w:rsid w:val="005640ED"/>
    <w:rsid w:val="00575766"/>
    <w:rsid w:val="00575F36"/>
    <w:rsid w:val="00585527"/>
    <w:rsid w:val="00595E9A"/>
    <w:rsid w:val="005B4DA9"/>
    <w:rsid w:val="005E3DA1"/>
    <w:rsid w:val="00682938"/>
    <w:rsid w:val="00683D94"/>
    <w:rsid w:val="006A532D"/>
    <w:rsid w:val="006B7433"/>
    <w:rsid w:val="00707E22"/>
    <w:rsid w:val="0074610F"/>
    <w:rsid w:val="00761D94"/>
    <w:rsid w:val="007624A4"/>
    <w:rsid w:val="00764B3A"/>
    <w:rsid w:val="007806DC"/>
    <w:rsid w:val="007A0848"/>
    <w:rsid w:val="007C51A8"/>
    <w:rsid w:val="008053F2"/>
    <w:rsid w:val="0080653F"/>
    <w:rsid w:val="008162BD"/>
    <w:rsid w:val="00822E5F"/>
    <w:rsid w:val="00843058"/>
    <w:rsid w:val="00886E89"/>
    <w:rsid w:val="00887700"/>
    <w:rsid w:val="008F18B8"/>
    <w:rsid w:val="00904FC3"/>
    <w:rsid w:val="00917557"/>
    <w:rsid w:val="00937E3A"/>
    <w:rsid w:val="00985949"/>
    <w:rsid w:val="00987A88"/>
    <w:rsid w:val="00A0279B"/>
    <w:rsid w:val="00A33B5E"/>
    <w:rsid w:val="00AA1D44"/>
    <w:rsid w:val="00AE567F"/>
    <w:rsid w:val="00B15AAA"/>
    <w:rsid w:val="00B62C6B"/>
    <w:rsid w:val="00BC1F23"/>
    <w:rsid w:val="00C60001"/>
    <w:rsid w:val="00CF3729"/>
    <w:rsid w:val="00D04E02"/>
    <w:rsid w:val="00D368AE"/>
    <w:rsid w:val="00D6453B"/>
    <w:rsid w:val="00DC7DFC"/>
    <w:rsid w:val="00DD0606"/>
    <w:rsid w:val="00E16AF8"/>
    <w:rsid w:val="00E6273F"/>
    <w:rsid w:val="00E6537C"/>
    <w:rsid w:val="00E95FF1"/>
    <w:rsid w:val="00EB1E7F"/>
    <w:rsid w:val="00EE2624"/>
    <w:rsid w:val="00EF634D"/>
    <w:rsid w:val="00F40AC7"/>
    <w:rsid w:val="00F65601"/>
    <w:rsid w:val="00F70459"/>
    <w:rsid w:val="00FB5DD8"/>
    <w:rsid w:val="00FD5C1F"/>
    <w:rsid w:val="00FF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21D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qFormat/>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eastAsia="SimSun"/>
      <w:sz w:val="20"/>
    </w:rPr>
  </w:style>
  <w:style w:type="character" w:styleId="Hyperlink">
    <w:name w:val="Hyperlink"/>
    <w:basedOn w:val="DefaultParagraphFont"/>
    <w:uiPriority w:val="99"/>
    <w:semiHidden/>
    <w:unhideWhenUsed/>
    <w:rsid w:val="004C3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222677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zh-cn/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29</cp:revision>
  <dcterms:created xsi:type="dcterms:W3CDTF">2016-01-25T19:58:00Z</dcterms:created>
  <dcterms:modified xsi:type="dcterms:W3CDTF">2018-03-13T23:56:00Z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2018-03-13T23:56:36.6746152Z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