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5E52D" w14:textId="0AB9D926" w:rsidR="00CF0DE9" w:rsidRDefault="00AD6420" w:rsidP="000F5772">
      <w:pPr>
        <w:ind w:left="-1260" w:firstLine="540"/>
        <w:rPr>
          <w:noProof/>
        </w:rPr>
      </w:pPr>
      <w:r w:rsidRPr="00733397">
        <w:rPr>
          <w:noProof/>
        </w:rPr>
        <mc:AlternateContent>
          <mc:Choice Requires="wps">
            <w:drawing>
              <wp:anchor distT="0" distB="0" distL="114300" distR="114300" simplePos="0" relativeHeight="251659264" behindDoc="0" locked="0" layoutInCell="1" allowOverlap="1" wp14:anchorId="640AE742" wp14:editId="7572B22A">
                <wp:simplePos x="0" y="0"/>
                <wp:positionH relativeFrom="column">
                  <wp:posOffset>-403412</wp:posOffset>
                </wp:positionH>
                <wp:positionV relativeFrom="paragraph">
                  <wp:posOffset>4222377</wp:posOffset>
                </wp:positionV>
                <wp:extent cx="6804212" cy="1470212"/>
                <wp:effectExtent l="0" t="0" r="0" b="0"/>
                <wp:wrapNone/>
                <wp:docPr id="1746416576" name="Content Placeholder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04212" cy="1470212"/>
                        </a:xfrm>
                        <a:prstGeom prst="rect">
                          <a:avLst/>
                        </a:prstGeom>
                      </wps:spPr>
                      <wps:txbx>
                        <w:txbxContent>
                          <w:p w14:paraId="74878413" w14:textId="166D2CBC" w:rsidR="00AD6420" w:rsidRDefault="00AD6420" w:rsidP="00AD6420">
                            <w:pPr>
                              <w:spacing w:before="200" w:line="360" w:lineRule="auto"/>
                              <w:rPr>
                                <w:rFonts w:hAnsi="Aptos"/>
                                <w:b/>
                                <w:bCs/>
                                <w:color w:val="000000" w:themeColor="text1"/>
                                <w:kern w:val="24"/>
                                <w:sz w:val="21"/>
                                <w:szCs w:val="21"/>
                              </w:rPr>
                            </w:pPr>
                            <w:r>
                              <w:rPr>
                                <w:rFonts w:hAnsi="Aptos"/>
                                <w:b/>
                                <w:bCs/>
                                <w:color w:val="000000" w:themeColor="text1"/>
                                <w:kern w:val="24"/>
                                <w:sz w:val="21"/>
                                <w:szCs w:val="21"/>
                              </w:rPr>
                              <w:t>Temporal variation in environmental drivers</w:t>
                            </w:r>
                          </w:p>
                          <w:p w14:paraId="205D2E71" w14:textId="15623B3E" w:rsidR="00AD6420" w:rsidRPr="00AD6420" w:rsidRDefault="00AD6420" w:rsidP="00AD6420">
                            <w:pPr>
                              <w:spacing w:before="200" w:line="360" w:lineRule="auto"/>
                              <w:rPr>
                                <w:rFonts w:hAnsi="Aptos"/>
                                <w:color w:val="000000" w:themeColor="text1"/>
                                <w:kern w:val="24"/>
                                <w:sz w:val="21"/>
                                <w:szCs w:val="21"/>
                                <w14:ligatures w14:val="none"/>
                              </w:rPr>
                            </w:pPr>
                            <w:r w:rsidRPr="00AD6420">
                              <w:rPr>
                                <w:rFonts w:hAnsi="Aptos"/>
                                <w:color w:val="000000" w:themeColor="text1"/>
                                <w:kern w:val="24"/>
                                <w:sz w:val="21"/>
                                <w:szCs w:val="21"/>
                              </w:rPr>
                              <w:t>Importance and direction of environmental variables on Danish breeding bird distributions across three atlas periods. (A) Absolute variance explained by each predictor variable across atlas periods. Variables are reordered in each period from most to least variance explained. (B) Percentage of modelled species for which each variable had a significant positive (above zero) or negative (below zero) effect.</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type w14:anchorId="640AE742" id="_x0000_t202" coordsize="21600,21600" o:spt="202" path="m,l,21600r21600,l21600,xe">
                <v:stroke joinstyle="miter"/>
                <v:path gradientshapeok="t" o:connecttype="rect"/>
              </v:shapetype>
              <v:shape id="Content Placeholder 2" o:spid="_x0000_s1026" type="#_x0000_t202" style="position:absolute;left:0;text-align:left;margin-left:-31.75pt;margin-top:332.45pt;width:535.75pt;height:11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" filled="f" stroked="f">
                <v:textbox>
                  <w:txbxContent>
                    <w:p w14:paraId="74878413" w14:textId="166D2CBC" w:rsidR="00AD6420" w:rsidRDefault="00AD6420" w:rsidP="00AD6420">
                      <w:pPr>
                        <w:spacing w:before="200" w:line="360" w:lineRule="auto"/>
                        <w:rPr>
                          <w:rFonts w:hAnsi="Aptos"/>
                          <w:b/>
                          <w:bCs/>
                          <w:color w:val="000000" w:themeColor="text1"/>
                          <w:kern w:val="24"/>
                          <w:sz w:val="21"/>
                          <w:szCs w:val="21"/>
                        </w:rPr>
                      </w:pPr>
                      <w:r>
                        <w:rPr>
                          <w:rFonts w:hAnsi="Aptos"/>
                          <w:b/>
                          <w:bCs/>
                          <w:color w:val="000000" w:themeColor="text1"/>
                          <w:kern w:val="24"/>
                          <w:sz w:val="21"/>
                          <w:szCs w:val="21"/>
                        </w:rPr>
                        <w:t>Temporal variation in environmental drivers</w:t>
                      </w:r>
                    </w:p>
                    <w:p w14:paraId="205D2E71" w14:textId="15623B3E" w:rsidR="00AD6420" w:rsidRPr="00AD6420" w:rsidRDefault="00AD6420" w:rsidP="00AD6420">
                      <w:pPr>
                        <w:spacing w:before="200" w:line="360" w:lineRule="auto"/>
                        <w:rPr>
                          <w:rFonts w:hAnsi="Aptos"/>
                          <w:color w:val="000000" w:themeColor="text1"/>
                          <w:kern w:val="24"/>
                          <w:sz w:val="21"/>
                          <w:szCs w:val="21"/>
                          <w14:ligatures w14:val="none"/>
                        </w:rPr>
                      </w:pPr>
                      <w:r w:rsidRPr="00AD6420">
                        <w:rPr>
                          <w:rFonts w:hAnsi="Aptos"/>
                          <w:color w:val="000000" w:themeColor="text1"/>
                          <w:kern w:val="24"/>
                          <w:sz w:val="21"/>
                          <w:szCs w:val="21"/>
                        </w:rPr>
                        <w:t>Importance and direction of environmental variables on Danish breeding bird distributions across three atlas periods. (A) Absolute variance explained by each predictor variable across atlas periods. Variables are reordered in each period from most to least variance explained. (B) Percentage of modelled species for which each variable had a significant positive (above zero) or negative (below zero) effect.</w:t>
                      </w:r>
                    </w:p>
                  </w:txbxContent>
                </v:textbox>
              </v:shape>
            </w:pict>
          </mc:Fallback>
        </mc:AlternateContent>
      </w:r>
      <w:r w:rsidR="000F5772">
        <w:rPr>
          <w:noProof/>
        </w:rPr>
        <w:drawing>
          <wp:inline distT="0" distB="0" distL="0" distR="0" wp14:anchorId="2A5DB82D" wp14:editId="318A65A9">
            <wp:extent cx="6858000" cy="4114800"/>
            <wp:effectExtent l="0" t="0" r="0" b="0"/>
            <wp:docPr id="1110779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79116" name="Picture 1110779116"/>
                    <pic:cNvPicPr/>
                  </pic:nvPicPr>
                  <pic:blipFill>
                    <a:blip r:embed="rId4" cstate="print">
                      <a:extLst>
                        <a:ext uri="{28A0092B-C50C-407E-A947-70E740481C1C}">
                          <a14:useLocalDpi xmlns:a14="http://schemas.microsoft.com/office/drawing/2010/main" val="0"/>
                        </a:ext>
                      </a:extLst>
                    </a:blip>
                    <a:stretch>
                      <a:fillRect/>
                    </a:stretch>
                  </pic:blipFill>
                  <pic:spPr>
                    <a:xfrm>
                      <a:off x="0" y="0"/>
                      <a:ext cx="6921805" cy="4153083"/>
                    </a:xfrm>
                    <a:prstGeom prst="rect">
                      <a:avLst/>
                    </a:prstGeom>
                  </pic:spPr>
                </pic:pic>
              </a:graphicData>
            </a:graphic>
          </wp:inline>
        </w:drawing>
      </w:r>
    </w:p>
    <w:p w14:paraId="3EE5C0C3" w14:textId="63FEA8C6" w:rsidR="000F5772" w:rsidRDefault="000F5772" w:rsidP="000F5772">
      <w:pPr>
        <w:rPr>
          <w:noProof/>
        </w:rPr>
      </w:pPr>
    </w:p>
    <w:p w14:paraId="78D1F3CB" w14:textId="59DCE7EA" w:rsidR="000F5772" w:rsidRDefault="000F5772">
      <w:r>
        <w:br w:type="page"/>
      </w:r>
    </w:p>
    <w:p w14:paraId="04AAE9BB" w14:textId="680FD516" w:rsidR="000F5772" w:rsidRDefault="006956C8" w:rsidP="000F5772">
      <w:pPr>
        <w:ind w:hanging="720"/>
        <w:rPr>
          <w:noProof/>
        </w:rPr>
      </w:pPr>
      <w:r w:rsidRPr="00337360">
        <w:rPr>
          <w:noProof/>
        </w:rPr>
        <w:lastRenderedPageBreak/>
        <mc:AlternateContent>
          <mc:Choice Requires="wps">
            <w:drawing>
              <wp:anchor distT="0" distB="0" distL="114300" distR="114300" simplePos="0" relativeHeight="251665408" behindDoc="0" locked="0" layoutInCell="1" allowOverlap="1" wp14:anchorId="04D80831" wp14:editId="119CBFAE">
                <wp:simplePos x="0" y="0"/>
                <wp:positionH relativeFrom="column">
                  <wp:posOffset>0</wp:posOffset>
                </wp:positionH>
                <wp:positionV relativeFrom="paragraph">
                  <wp:posOffset>5281146</wp:posOffset>
                </wp:positionV>
                <wp:extent cx="6020435" cy="3448878"/>
                <wp:effectExtent l="0" t="0" r="0" b="0"/>
                <wp:wrapNone/>
                <wp:docPr id="1718966342" name="Content Placeholder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0435" cy="3448878"/>
                        </a:xfrm>
                        <a:prstGeom prst="rect">
                          <a:avLst/>
                        </a:prstGeom>
                      </wps:spPr>
                      <wps:txbx>
                        <w:txbxContent>
                          <w:p w14:paraId="44693ED4" w14:textId="77777777" w:rsidR="006956C8" w:rsidRDefault="006956C8" w:rsidP="006956C8">
                            <w:pPr>
                              <w:spacing w:before="200" w:line="360" w:lineRule="auto"/>
                              <w:rPr>
                                <w:rFonts w:hAnsi="Aptos"/>
                                <w:b/>
                                <w:bCs/>
                                <w:color w:val="000000" w:themeColor="text1"/>
                                <w:kern w:val="24"/>
                                <w:sz w:val="21"/>
                                <w:szCs w:val="21"/>
                              </w:rPr>
                            </w:pPr>
                            <w:r>
                              <w:rPr>
                                <w:rFonts w:hAnsi="Aptos"/>
                                <w:b/>
                                <w:bCs/>
                                <w:color w:val="000000" w:themeColor="text1"/>
                                <w:kern w:val="24"/>
                                <w:sz w:val="21"/>
                                <w:szCs w:val="21"/>
                              </w:rPr>
                              <w:t xml:space="preserve">Avian community warming driven by loss of ‘cold’ species and expansions of ‘warm’ species </w:t>
                            </w:r>
                          </w:p>
                          <w:p w14:paraId="2019BE79" w14:textId="343A8767" w:rsidR="006956C8" w:rsidRPr="00AA2B17" w:rsidRDefault="006956C8" w:rsidP="006956C8">
                            <w:pPr>
                              <w:spacing w:before="200" w:line="360" w:lineRule="auto"/>
                              <w:rPr>
                                <w:rFonts w:hAnsi="Aptos"/>
                                <w:color w:val="000000" w:themeColor="text1"/>
                                <w:kern w:val="24"/>
                                <w:sz w:val="21"/>
                                <w:szCs w:val="21"/>
                              </w:rPr>
                            </w:pPr>
                            <w:r>
                              <w:rPr>
                                <w:rFonts w:hAnsi="Aptos"/>
                                <w:b/>
                                <w:bCs/>
                                <w:color w:val="000000" w:themeColor="text1"/>
                                <w:kern w:val="24"/>
                                <w:sz w:val="21"/>
                                <w:szCs w:val="21"/>
                              </w:rPr>
                              <w:t xml:space="preserve"> </w:t>
                            </w:r>
                            <w:r w:rsidRPr="004533A4">
                              <w:rPr>
                                <w:rFonts w:hAnsi="Aptos"/>
                                <w:color w:val="000000" w:themeColor="text1"/>
                                <w:kern w:val="24"/>
                                <w:sz w:val="21"/>
                                <w:szCs w:val="21"/>
                              </w:rPr>
                              <w:t xml:space="preserve">(A) </w:t>
                            </w:r>
                            <w:r>
                              <w:rPr>
                                <w:rFonts w:hAnsi="Aptos"/>
                                <w:color w:val="000000" w:themeColor="text1"/>
                                <w:kern w:val="24"/>
                                <w:sz w:val="21"/>
                                <w:szCs w:val="21"/>
                              </w:rPr>
                              <w:t xml:space="preserve">Spatial distribution of </w:t>
                            </w:r>
                            <w:r w:rsidRPr="004533A4">
                              <w:rPr>
                                <w:rFonts w:hAnsi="Aptos"/>
                                <w:color w:val="000000" w:themeColor="text1"/>
                                <w:kern w:val="24"/>
                                <w:sz w:val="21"/>
                                <w:szCs w:val="21"/>
                              </w:rPr>
                              <w:t>CMW</w:t>
                            </w:r>
                            <w:r>
                              <w:rPr>
                                <w:rFonts w:hAnsi="Aptos"/>
                                <w:b/>
                                <w:bCs/>
                                <w:color w:val="000000" w:themeColor="text1"/>
                                <w:kern w:val="24"/>
                                <w:sz w:val="21"/>
                                <w:szCs w:val="21"/>
                              </w:rPr>
                              <w:t>-</w:t>
                            </w:r>
                            <w:r w:rsidRPr="00AB1F48">
                              <w:rPr>
                                <w:rFonts w:hAnsi="Aptos"/>
                                <w:color w:val="000000" w:themeColor="text1"/>
                                <w:kern w:val="24"/>
                                <w:sz w:val="21"/>
                                <w:szCs w:val="21"/>
                              </w:rPr>
                              <w:t>STI</w:t>
                            </w:r>
                            <w:r>
                              <w:rPr>
                                <w:rFonts w:hAnsi="Aptos"/>
                                <w:color w:val="000000" w:themeColor="text1"/>
                                <w:kern w:val="24"/>
                                <w:sz w:val="21"/>
                                <w:szCs w:val="21"/>
                              </w:rPr>
                              <w:t xml:space="preserve"> </w:t>
                            </w:r>
                            <w:r w:rsidRPr="007B68A6">
                              <w:rPr>
                                <w:rFonts w:hAnsi="Aptos"/>
                                <w:color w:val="000000" w:themeColor="text1"/>
                                <w:kern w:val="24"/>
                                <w:sz w:val="21"/>
                                <w:szCs w:val="21"/>
                              </w:rPr>
                              <w:t>across three Danish breeding bird atlas periods: 1970s, 1990s, and 2010s</w:t>
                            </w:r>
                            <w:r>
                              <w:rPr>
                                <w:rFonts w:hAnsi="Aptos"/>
                                <w:color w:val="000000" w:themeColor="text1"/>
                                <w:kern w:val="24"/>
                                <w:sz w:val="21"/>
                                <w:szCs w:val="21"/>
                              </w:rPr>
                              <w:t>. CMW-STI</w:t>
                            </w:r>
                            <w:r w:rsidRPr="00AB1F48">
                              <w:rPr>
                                <w:rFonts w:hAnsi="Aptos"/>
                                <w:color w:val="000000" w:themeColor="text1"/>
                                <w:kern w:val="24"/>
                                <w:sz w:val="21"/>
                                <w:szCs w:val="21"/>
                              </w:rPr>
                              <w:t xml:space="preserve"> represents the average breeding season temperatures across each species’ range, weighted by their grid-level predicted probability of occurrence, with higher values indicating communities dominated by </w:t>
                            </w:r>
                            <w:r>
                              <w:rPr>
                                <w:rFonts w:hAnsi="Aptos"/>
                                <w:color w:val="000000" w:themeColor="text1"/>
                                <w:kern w:val="24"/>
                                <w:sz w:val="21"/>
                                <w:szCs w:val="21"/>
                              </w:rPr>
                              <w:t xml:space="preserve">species with warmer species thermal indices. CWM-STI colours use a common nonlinear scale, with internal colour stops anchored to equal, 1970s CWM-STI quantiles and applied consistently across the other atlas periods. (B) Spatial distribution of communities in 1990s and 2010s that are warming or cooling relative to the reference period in the 1970s. (C) </w:t>
                            </w:r>
                            <w:r w:rsidRPr="00AB1F48">
                              <w:rPr>
                                <w:rFonts w:hAnsi="Aptos"/>
                                <w:color w:val="000000" w:themeColor="text1"/>
                                <w:kern w:val="24"/>
                                <w:sz w:val="21"/>
                                <w:szCs w:val="21"/>
                              </w:rPr>
                              <w:t xml:space="preserve">Distribution of </w:t>
                            </w:r>
                            <w:r>
                              <w:rPr>
                                <w:rFonts w:hAnsi="Aptos"/>
                                <w:color w:val="000000" w:themeColor="text1"/>
                                <w:kern w:val="24"/>
                                <w:sz w:val="21"/>
                                <w:szCs w:val="21"/>
                              </w:rPr>
                              <w:t xml:space="preserve">CMW-STI </w:t>
                            </w:r>
                            <w:r w:rsidRPr="00AB1F48">
                              <w:rPr>
                                <w:rFonts w:hAnsi="Aptos"/>
                                <w:color w:val="000000" w:themeColor="text1"/>
                                <w:kern w:val="24"/>
                                <w:sz w:val="21"/>
                                <w:szCs w:val="21"/>
                              </w:rPr>
                              <w:t>across three Danish breeding bird atlas periods</w:t>
                            </w:r>
                            <w:r>
                              <w:rPr>
                                <w:rFonts w:hAnsi="Aptos"/>
                                <w:color w:val="000000" w:themeColor="text1"/>
                                <w:kern w:val="24"/>
                                <w:sz w:val="21"/>
                                <w:szCs w:val="21"/>
                              </w:rPr>
                              <w:t xml:space="preserve"> and increasing prevalence of warm-affinity dominated communities. </w:t>
                            </w:r>
                            <w:proofErr w:type="spellStart"/>
                            <w:r w:rsidRPr="00AB1F48">
                              <w:rPr>
                                <w:rFonts w:hAnsi="Aptos"/>
                                <w:color w:val="000000" w:themeColor="text1"/>
                                <w:kern w:val="24"/>
                                <w:sz w:val="21"/>
                                <w:szCs w:val="21"/>
                              </w:rPr>
                              <w:t>Beeswarm</w:t>
                            </w:r>
                            <w:proofErr w:type="spellEnd"/>
                            <w:r w:rsidRPr="00AB1F48">
                              <w:rPr>
                                <w:rFonts w:hAnsi="Aptos"/>
                                <w:color w:val="000000" w:themeColor="text1"/>
                                <w:kern w:val="24"/>
                                <w:sz w:val="21"/>
                                <w:szCs w:val="21"/>
                              </w:rPr>
                              <w:t xml:space="preserve"> plots show the full distribution of CWM-STI values across grid cells, with individual points coloured according to </w:t>
                            </w:r>
                            <w:r>
                              <w:rPr>
                                <w:rFonts w:hAnsi="Aptos"/>
                                <w:color w:val="000000" w:themeColor="text1"/>
                                <w:kern w:val="24"/>
                                <w:sz w:val="21"/>
                                <w:szCs w:val="21"/>
                              </w:rPr>
                              <w:t>the</w:t>
                            </w:r>
                            <w:r w:rsidRPr="00AB1F48">
                              <w:rPr>
                                <w:rFonts w:hAnsi="Aptos"/>
                                <w:color w:val="000000" w:themeColor="text1"/>
                                <w:kern w:val="24"/>
                                <w:sz w:val="21"/>
                                <w:szCs w:val="21"/>
                              </w:rPr>
                              <w:t xml:space="preserve"> dominant thermal affinity class</w:t>
                            </w:r>
                            <w:r>
                              <w:rPr>
                                <w:rFonts w:hAnsi="Aptos"/>
                                <w:color w:val="000000" w:themeColor="text1"/>
                                <w:kern w:val="24"/>
                                <w:sz w:val="21"/>
                                <w:szCs w:val="21"/>
                              </w:rPr>
                              <w:t xml:space="preserve"> in said grid cell</w:t>
                            </w:r>
                            <w:r w:rsidRPr="00AB1F48">
                              <w:rPr>
                                <w:rFonts w:hAnsi="Aptos"/>
                                <w:color w:val="000000" w:themeColor="text1"/>
                                <w:kern w:val="24"/>
                                <w:sz w:val="21"/>
                                <w:szCs w:val="21"/>
                              </w:rPr>
                              <w:t xml:space="preserve">. </w:t>
                            </w:r>
                            <w:r>
                              <w:rPr>
                                <w:rFonts w:hAnsi="Aptos"/>
                                <w:color w:val="000000" w:themeColor="text1"/>
                                <w:kern w:val="24"/>
                                <w:sz w:val="21"/>
                                <w:szCs w:val="21"/>
                              </w:rPr>
                              <w:t>B</w:t>
                            </w:r>
                            <w:r w:rsidRPr="00AB1F48">
                              <w:rPr>
                                <w:rFonts w:hAnsi="Aptos"/>
                                <w:color w:val="000000" w:themeColor="text1"/>
                                <w:kern w:val="24"/>
                                <w:sz w:val="21"/>
                                <w:szCs w:val="21"/>
                              </w:rPr>
                              <w:t>ox plots indicate the median and interquartile range</w:t>
                            </w:r>
                            <w:r>
                              <w:rPr>
                                <w:rFonts w:hAnsi="Aptos"/>
                                <w:color w:val="000000" w:themeColor="text1"/>
                                <w:kern w:val="24"/>
                                <w:sz w:val="21"/>
                                <w:szCs w:val="21"/>
                              </w:rPr>
                              <w:t xml:space="preserve">, compared to the median from the from 1970s (dotted line). </w:t>
                            </w:r>
                          </w:p>
                          <w:p w14:paraId="16ACE660" w14:textId="77777777" w:rsidR="006956C8" w:rsidRDefault="006956C8" w:rsidP="006956C8">
                            <w:pPr>
                              <w:spacing w:before="200" w:line="360" w:lineRule="auto"/>
                              <w:rPr>
                                <w:rFonts w:hAnsi="Aptos"/>
                                <w:b/>
                                <w:bCs/>
                                <w:color w:val="000000" w:themeColor="text1"/>
                                <w:kern w:val="24"/>
                                <w:sz w:val="21"/>
                                <w:szCs w:val="21"/>
                              </w:rPr>
                            </w:pPr>
                          </w:p>
                          <w:p w14:paraId="020EB01E" w14:textId="77777777" w:rsidR="006956C8" w:rsidRPr="00FD20C8" w:rsidRDefault="006956C8" w:rsidP="006956C8">
                            <w:pPr>
                              <w:spacing w:before="200" w:line="360" w:lineRule="auto"/>
                              <w:rPr>
                                <w:rFonts w:hAnsi="Aptos"/>
                                <w:b/>
                                <w:bCs/>
                                <w:color w:val="000000" w:themeColor="text1"/>
                                <w:kern w:val="24"/>
                                <w:sz w:val="21"/>
                                <w:szCs w:val="21"/>
                                <w14:ligatures w14:val="none"/>
                              </w:rPr>
                            </w:pP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04D80831" id="_x0000_s1027" type="#_x0000_t202" style="position:absolute;margin-left:0;margin-top:415.85pt;width:474.05pt;height:271.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" filled="f" stroked="f">
                <v:textbox>
                  <w:txbxContent>
                    <w:p w14:paraId="44693ED4" w14:textId="77777777" w:rsidR="006956C8" w:rsidRDefault="006956C8" w:rsidP="006956C8">
                      <w:pPr>
                        <w:spacing w:before="200" w:line="360" w:lineRule="auto"/>
                        <w:rPr>
                          <w:rFonts w:hAnsi="Aptos"/>
                          <w:b/>
                          <w:bCs/>
                          <w:color w:val="000000" w:themeColor="text1"/>
                          <w:kern w:val="24"/>
                          <w:sz w:val="21"/>
                          <w:szCs w:val="21"/>
                        </w:rPr>
                      </w:pPr>
                      <w:r>
                        <w:rPr>
                          <w:rFonts w:hAnsi="Aptos"/>
                          <w:b/>
                          <w:bCs/>
                          <w:color w:val="000000" w:themeColor="text1"/>
                          <w:kern w:val="24"/>
                          <w:sz w:val="21"/>
                          <w:szCs w:val="21"/>
                        </w:rPr>
                        <w:t xml:space="preserve">Avian community warming driven by loss of ‘cold’ species and expansions of ‘warm’ species </w:t>
                      </w:r>
                    </w:p>
                    <w:p w14:paraId="2019BE79" w14:textId="343A8767" w:rsidR="006956C8" w:rsidRPr="00AA2B17" w:rsidRDefault="006956C8" w:rsidP="006956C8">
                      <w:pPr>
                        <w:spacing w:before="200" w:line="360" w:lineRule="auto"/>
                        <w:rPr>
                          <w:rFonts w:hAnsi="Aptos"/>
                          <w:color w:val="000000" w:themeColor="text1"/>
                          <w:kern w:val="24"/>
                          <w:sz w:val="21"/>
                          <w:szCs w:val="21"/>
                        </w:rPr>
                      </w:pPr>
                      <w:r>
                        <w:rPr>
                          <w:rFonts w:hAnsi="Aptos"/>
                          <w:b/>
                          <w:bCs/>
                          <w:color w:val="000000" w:themeColor="text1"/>
                          <w:kern w:val="24"/>
                          <w:sz w:val="21"/>
                          <w:szCs w:val="21"/>
                        </w:rPr>
                        <w:t xml:space="preserve"> </w:t>
                      </w:r>
                      <w:r w:rsidRPr="004533A4">
                        <w:rPr>
                          <w:rFonts w:hAnsi="Aptos"/>
                          <w:color w:val="000000" w:themeColor="text1"/>
                          <w:kern w:val="24"/>
                          <w:sz w:val="21"/>
                          <w:szCs w:val="21"/>
                        </w:rPr>
                        <w:t xml:space="preserve">(A) </w:t>
                      </w:r>
                      <w:r>
                        <w:rPr>
                          <w:rFonts w:hAnsi="Aptos"/>
                          <w:color w:val="000000" w:themeColor="text1"/>
                          <w:kern w:val="24"/>
                          <w:sz w:val="21"/>
                          <w:szCs w:val="21"/>
                        </w:rPr>
                        <w:t xml:space="preserve">Spatial distribution of </w:t>
                      </w:r>
                      <w:r w:rsidRPr="004533A4">
                        <w:rPr>
                          <w:rFonts w:hAnsi="Aptos"/>
                          <w:color w:val="000000" w:themeColor="text1"/>
                          <w:kern w:val="24"/>
                          <w:sz w:val="21"/>
                          <w:szCs w:val="21"/>
                        </w:rPr>
                        <w:t>CMW</w:t>
                      </w:r>
                      <w:r>
                        <w:rPr>
                          <w:rFonts w:hAnsi="Aptos"/>
                          <w:b/>
                          <w:bCs/>
                          <w:color w:val="000000" w:themeColor="text1"/>
                          <w:kern w:val="24"/>
                          <w:sz w:val="21"/>
                          <w:szCs w:val="21"/>
                        </w:rPr>
                        <w:t>-</w:t>
                      </w:r>
                      <w:r w:rsidRPr="00AB1F48">
                        <w:rPr>
                          <w:rFonts w:hAnsi="Aptos"/>
                          <w:color w:val="000000" w:themeColor="text1"/>
                          <w:kern w:val="24"/>
                          <w:sz w:val="21"/>
                          <w:szCs w:val="21"/>
                        </w:rPr>
                        <w:t>STI</w:t>
                      </w:r>
                      <w:r>
                        <w:rPr>
                          <w:rFonts w:hAnsi="Aptos"/>
                          <w:color w:val="000000" w:themeColor="text1"/>
                          <w:kern w:val="24"/>
                          <w:sz w:val="21"/>
                          <w:szCs w:val="21"/>
                        </w:rPr>
                        <w:t xml:space="preserve"> </w:t>
                      </w:r>
                      <w:r w:rsidRPr="007B68A6">
                        <w:rPr>
                          <w:rFonts w:hAnsi="Aptos"/>
                          <w:color w:val="000000" w:themeColor="text1"/>
                          <w:kern w:val="24"/>
                          <w:sz w:val="21"/>
                          <w:szCs w:val="21"/>
                        </w:rPr>
                        <w:t>across three Danish breeding bird atlas periods: 1970s, 1990s, and 2010s</w:t>
                      </w:r>
                      <w:r>
                        <w:rPr>
                          <w:rFonts w:hAnsi="Aptos"/>
                          <w:color w:val="000000" w:themeColor="text1"/>
                          <w:kern w:val="24"/>
                          <w:sz w:val="21"/>
                          <w:szCs w:val="21"/>
                        </w:rPr>
                        <w:t>. CMW-STI</w:t>
                      </w:r>
                      <w:r w:rsidRPr="00AB1F48">
                        <w:rPr>
                          <w:rFonts w:hAnsi="Aptos"/>
                          <w:color w:val="000000" w:themeColor="text1"/>
                          <w:kern w:val="24"/>
                          <w:sz w:val="21"/>
                          <w:szCs w:val="21"/>
                        </w:rPr>
                        <w:t xml:space="preserve"> represents the average breeding season temperatures across each species’ range, weighted by their grid-level predicted probability of occurrence, with higher values indicating communities dominated by </w:t>
                      </w:r>
                      <w:r>
                        <w:rPr>
                          <w:rFonts w:hAnsi="Aptos"/>
                          <w:color w:val="000000" w:themeColor="text1"/>
                          <w:kern w:val="24"/>
                          <w:sz w:val="21"/>
                          <w:szCs w:val="21"/>
                        </w:rPr>
                        <w:t xml:space="preserve">species with warmer species thermal indices. CWM-STI colours use a common nonlinear scale, with internal colour stops anchored to equal, 1970s CWM-STI quantiles and applied consistently across the other atlas periods. (B) Spatial distribution of communities in 1990s and 2010s that are warming or cooling relative to the reference period in the 1970s. (C) </w:t>
                      </w:r>
                      <w:r w:rsidRPr="00AB1F48">
                        <w:rPr>
                          <w:rFonts w:hAnsi="Aptos"/>
                          <w:color w:val="000000" w:themeColor="text1"/>
                          <w:kern w:val="24"/>
                          <w:sz w:val="21"/>
                          <w:szCs w:val="21"/>
                        </w:rPr>
                        <w:t xml:space="preserve">Distribution of </w:t>
                      </w:r>
                      <w:r>
                        <w:rPr>
                          <w:rFonts w:hAnsi="Aptos"/>
                          <w:color w:val="000000" w:themeColor="text1"/>
                          <w:kern w:val="24"/>
                          <w:sz w:val="21"/>
                          <w:szCs w:val="21"/>
                        </w:rPr>
                        <w:t xml:space="preserve">CMW-STI </w:t>
                      </w:r>
                      <w:r w:rsidRPr="00AB1F48">
                        <w:rPr>
                          <w:rFonts w:hAnsi="Aptos"/>
                          <w:color w:val="000000" w:themeColor="text1"/>
                          <w:kern w:val="24"/>
                          <w:sz w:val="21"/>
                          <w:szCs w:val="21"/>
                        </w:rPr>
                        <w:t>across three Danish breeding bird atlas periods</w:t>
                      </w:r>
                      <w:r>
                        <w:rPr>
                          <w:rFonts w:hAnsi="Aptos"/>
                          <w:color w:val="000000" w:themeColor="text1"/>
                          <w:kern w:val="24"/>
                          <w:sz w:val="21"/>
                          <w:szCs w:val="21"/>
                        </w:rPr>
                        <w:t xml:space="preserve"> and increasing prevalence of warm-affinity dominated communities. </w:t>
                      </w:r>
                      <w:proofErr w:type="spellStart"/>
                      <w:r w:rsidRPr="00AB1F48">
                        <w:rPr>
                          <w:rFonts w:hAnsi="Aptos"/>
                          <w:color w:val="000000" w:themeColor="text1"/>
                          <w:kern w:val="24"/>
                          <w:sz w:val="21"/>
                          <w:szCs w:val="21"/>
                        </w:rPr>
                        <w:t>Beeswarm</w:t>
                      </w:r>
                      <w:proofErr w:type="spellEnd"/>
                      <w:r w:rsidRPr="00AB1F48">
                        <w:rPr>
                          <w:rFonts w:hAnsi="Aptos"/>
                          <w:color w:val="000000" w:themeColor="text1"/>
                          <w:kern w:val="24"/>
                          <w:sz w:val="21"/>
                          <w:szCs w:val="21"/>
                        </w:rPr>
                        <w:t xml:space="preserve"> plots show the full distribution of CWM-STI values across grid cells, with individual points coloured according to </w:t>
                      </w:r>
                      <w:r>
                        <w:rPr>
                          <w:rFonts w:hAnsi="Aptos"/>
                          <w:color w:val="000000" w:themeColor="text1"/>
                          <w:kern w:val="24"/>
                          <w:sz w:val="21"/>
                          <w:szCs w:val="21"/>
                        </w:rPr>
                        <w:t>the</w:t>
                      </w:r>
                      <w:r w:rsidRPr="00AB1F48">
                        <w:rPr>
                          <w:rFonts w:hAnsi="Aptos"/>
                          <w:color w:val="000000" w:themeColor="text1"/>
                          <w:kern w:val="24"/>
                          <w:sz w:val="21"/>
                          <w:szCs w:val="21"/>
                        </w:rPr>
                        <w:t xml:space="preserve"> dominant thermal affinity class</w:t>
                      </w:r>
                      <w:r>
                        <w:rPr>
                          <w:rFonts w:hAnsi="Aptos"/>
                          <w:color w:val="000000" w:themeColor="text1"/>
                          <w:kern w:val="24"/>
                          <w:sz w:val="21"/>
                          <w:szCs w:val="21"/>
                        </w:rPr>
                        <w:t xml:space="preserve"> in said grid cell</w:t>
                      </w:r>
                      <w:r w:rsidRPr="00AB1F48">
                        <w:rPr>
                          <w:rFonts w:hAnsi="Aptos"/>
                          <w:color w:val="000000" w:themeColor="text1"/>
                          <w:kern w:val="24"/>
                          <w:sz w:val="21"/>
                          <w:szCs w:val="21"/>
                        </w:rPr>
                        <w:t xml:space="preserve">. </w:t>
                      </w:r>
                      <w:r>
                        <w:rPr>
                          <w:rFonts w:hAnsi="Aptos"/>
                          <w:color w:val="000000" w:themeColor="text1"/>
                          <w:kern w:val="24"/>
                          <w:sz w:val="21"/>
                          <w:szCs w:val="21"/>
                        </w:rPr>
                        <w:t>B</w:t>
                      </w:r>
                      <w:r w:rsidRPr="00AB1F48">
                        <w:rPr>
                          <w:rFonts w:hAnsi="Aptos"/>
                          <w:color w:val="000000" w:themeColor="text1"/>
                          <w:kern w:val="24"/>
                          <w:sz w:val="21"/>
                          <w:szCs w:val="21"/>
                        </w:rPr>
                        <w:t>ox plots indicate the median and interquartile range</w:t>
                      </w:r>
                      <w:r>
                        <w:rPr>
                          <w:rFonts w:hAnsi="Aptos"/>
                          <w:color w:val="000000" w:themeColor="text1"/>
                          <w:kern w:val="24"/>
                          <w:sz w:val="21"/>
                          <w:szCs w:val="21"/>
                        </w:rPr>
                        <w:t xml:space="preserve">, compared to the median from the from 1970s (dotted line). </w:t>
                      </w:r>
                    </w:p>
                    <w:p w14:paraId="16ACE660" w14:textId="77777777" w:rsidR="006956C8" w:rsidRDefault="006956C8" w:rsidP="006956C8">
                      <w:pPr>
                        <w:spacing w:before="200" w:line="360" w:lineRule="auto"/>
                        <w:rPr>
                          <w:rFonts w:hAnsi="Aptos"/>
                          <w:b/>
                          <w:bCs/>
                          <w:color w:val="000000" w:themeColor="text1"/>
                          <w:kern w:val="24"/>
                          <w:sz w:val="21"/>
                          <w:szCs w:val="21"/>
                        </w:rPr>
                      </w:pPr>
                    </w:p>
                    <w:p w14:paraId="020EB01E" w14:textId="77777777" w:rsidR="006956C8" w:rsidRPr="00FD20C8" w:rsidRDefault="006956C8" w:rsidP="006956C8">
                      <w:pPr>
                        <w:spacing w:before="200" w:line="360" w:lineRule="auto"/>
                        <w:rPr>
                          <w:rFonts w:hAnsi="Aptos"/>
                          <w:b/>
                          <w:bCs/>
                          <w:color w:val="000000" w:themeColor="text1"/>
                          <w:kern w:val="24"/>
                          <w:sz w:val="21"/>
                          <w:szCs w:val="21"/>
                          <w14:ligatures w14:val="none"/>
                        </w:rPr>
                      </w:pPr>
                    </w:p>
                  </w:txbxContent>
                </v:textbox>
              </v:shape>
            </w:pict>
          </mc:Fallback>
        </mc:AlternateContent>
      </w:r>
      <w:r w:rsidR="000F5772">
        <w:rPr>
          <w:noProof/>
        </w:rPr>
        <w:drawing>
          <wp:inline distT="0" distB="0" distL="0" distR="0" wp14:anchorId="78E9F103" wp14:editId="32F664EB">
            <wp:extent cx="6822141" cy="5151591"/>
            <wp:effectExtent l="0" t="0" r="0" b="5080"/>
            <wp:docPr id="6498519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51956" name="Picture 649851956"/>
                    <pic:cNvPicPr/>
                  </pic:nvPicPr>
                  <pic:blipFill>
                    <a:blip r:embed="rId5" cstate="print">
                      <a:extLst>
                        <a:ext uri="{28A0092B-C50C-407E-A947-70E740481C1C}">
                          <a14:useLocalDpi xmlns:a14="http://schemas.microsoft.com/office/drawing/2010/main" val="0"/>
                        </a:ext>
                      </a:extLst>
                    </a:blip>
                    <a:stretch>
                      <a:fillRect/>
                    </a:stretch>
                  </pic:blipFill>
                  <pic:spPr>
                    <a:xfrm>
                      <a:off x="0" y="0"/>
                      <a:ext cx="6880136" cy="5195385"/>
                    </a:xfrm>
                    <a:prstGeom prst="rect">
                      <a:avLst/>
                    </a:prstGeom>
                  </pic:spPr>
                </pic:pic>
              </a:graphicData>
            </a:graphic>
          </wp:inline>
        </w:drawing>
      </w:r>
    </w:p>
    <w:p w14:paraId="52DE1712" w14:textId="1696889F" w:rsidR="000F5772" w:rsidRPr="000F5772" w:rsidRDefault="000F5772" w:rsidP="000F5772"/>
    <w:p w14:paraId="71094D35" w14:textId="51DEB698" w:rsidR="000F5772" w:rsidRDefault="000F5772" w:rsidP="000F5772">
      <w:pPr>
        <w:rPr>
          <w:noProof/>
        </w:rPr>
      </w:pPr>
    </w:p>
    <w:p w14:paraId="1B9B5F3A" w14:textId="18CF1BAE" w:rsidR="000F5772" w:rsidRDefault="000F5772" w:rsidP="000F5772">
      <w:pPr>
        <w:tabs>
          <w:tab w:val="left" w:pos="1228"/>
        </w:tabs>
      </w:pPr>
      <w:r>
        <w:tab/>
      </w:r>
    </w:p>
    <w:p w14:paraId="5C6593D0" w14:textId="77777777" w:rsidR="000F5772" w:rsidRDefault="000F5772">
      <w:r>
        <w:br w:type="page"/>
      </w:r>
    </w:p>
    <w:p w14:paraId="5697CE38" w14:textId="38D3BB7A" w:rsidR="000F5772" w:rsidRDefault="00AD6420" w:rsidP="000F5772">
      <w:pPr>
        <w:tabs>
          <w:tab w:val="left" w:pos="1228"/>
        </w:tabs>
        <w:ind w:hanging="720"/>
        <w:rPr>
          <w:noProof/>
        </w:rPr>
      </w:pPr>
      <w:r w:rsidRPr="00337360">
        <w:rPr>
          <w:noProof/>
        </w:rPr>
        <w:lastRenderedPageBreak/>
        <mc:AlternateContent>
          <mc:Choice Requires="wps">
            <w:drawing>
              <wp:anchor distT="0" distB="0" distL="114300" distR="114300" simplePos="0" relativeHeight="251663360" behindDoc="0" locked="0" layoutInCell="1" allowOverlap="1" wp14:anchorId="5FE69595" wp14:editId="73F36439">
                <wp:simplePos x="0" y="0"/>
                <wp:positionH relativeFrom="column">
                  <wp:posOffset>-457200</wp:posOffset>
                </wp:positionH>
                <wp:positionV relativeFrom="paragraph">
                  <wp:posOffset>4831975</wp:posOffset>
                </wp:positionV>
                <wp:extent cx="6830695" cy="3379695"/>
                <wp:effectExtent l="0" t="0" r="0" b="0"/>
                <wp:wrapNone/>
                <wp:docPr id="646794131" name="Content Placeholder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0695" cy="3379695"/>
                        </a:xfrm>
                        <a:prstGeom prst="rect">
                          <a:avLst/>
                        </a:prstGeom>
                      </wps:spPr>
                      <wps:txbx>
                        <w:txbxContent>
                          <w:p w14:paraId="465B2B5C" w14:textId="77777777" w:rsidR="00AD6420" w:rsidRDefault="00AD6420" w:rsidP="00AD6420">
                            <w:pPr>
                              <w:spacing w:before="200" w:line="360" w:lineRule="auto"/>
                              <w:rPr>
                                <w:rFonts w:hAnsi="Aptos"/>
                                <w:b/>
                                <w:bCs/>
                                <w:color w:val="000000" w:themeColor="text1"/>
                                <w:kern w:val="24"/>
                                <w:sz w:val="21"/>
                                <w:szCs w:val="21"/>
                              </w:rPr>
                            </w:pPr>
                            <w:r>
                              <w:rPr>
                                <w:rFonts w:hAnsi="Aptos"/>
                                <w:b/>
                                <w:bCs/>
                                <w:color w:val="000000" w:themeColor="text1"/>
                                <w:kern w:val="24"/>
                                <w:sz w:val="21"/>
                                <w:szCs w:val="21"/>
                              </w:rPr>
                              <w:t xml:space="preserve">Temporal consistency in avian characteristic x environment relationships </w:t>
                            </w:r>
                          </w:p>
                          <w:p w14:paraId="66EE7E5F" w14:textId="32A3C4A0" w:rsidR="00AD6420" w:rsidRPr="006956C8" w:rsidRDefault="006956C8" w:rsidP="00AD6420">
                            <w:pPr>
                              <w:spacing w:before="200" w:line="360" w:lineRule="auto"/>
                              <w:rPr>
                                <w:rFonts w:hAnsi="Aptos"/>
                                <w:b/>
                                <w:bCs/>
                                <w:color w:val="000000" w:themeColor="text1"/>
                                <w:kern w:val="24"/>
                                <w:sz w:val="21"/>
                                <w:szCs w:val="21"/>
                              </w:rPr>
                            </w:pPr>
                            <w:r w:rsidRPr="006956C8">
                              <w:rPr>
                                <w:rFonts w:hAnsi="Aptos"/>
                                <w:color w:val="000000" w:themeColor="text1"/>
                                <w:kern w:val="24"/>
                                <w:sz w:val="21"/>
                                <w:szCs w:val="21"/>
                              </w:rPr>
                              <w:t xml:space="preserve">Trait moderation of species-environment relationships across atlas periods. Tiles show the number of atlas-period HMSC models in which a trait had a supported Gamma coefficient for each environmental variable. Green tiles indicate positive trait </w:t>
                            </w:r>
                            <w:proofErr w:type="gramStart"/>
                            <w:r w:rsidRPr="006956C8">
                              <w:rPr>
                                <w:rFonts w:hAnsi="Aptos"/>
                                <w:color w:val="000000" w:themeColor="text1"/>
                                <w:kern w:val="24"/>
                                <w:sz w:val="21"/>
                                <w:szCs w:val="21"/>
                              </w:rPr>
                              <w:t>moderation</w:t>
                            </w:r>
                            <w:proofErr w:type="gramEnd"/>
                            <w:r w:rsidRPr="006956C8">
                              <w:rPr>
                                <w:rFonts w:hAnsi="Aptos"/>
                                <w:color w:val="000000" w:themeColor="text1"/>
                                <w:kern w:val="24"/>
                                <w:sz w:val="21"/>
                                <w:szCs w:val="21"/>
                              </w:rPr>
                              <w:t xml:space="preserve"> and red tiles indicate negative trait moderation; darker shades indicate support in more atlas periods. Near-white tiles indicate no supported effect. Panels separate species thermal index, migratory strategy, and foraging guild. For categorical traits, effects are interpreted relative to the model reference levels: long-distance migrants for migratory strategy and aerial insectivores for foraging guild. Trait-variable pairs with conflicting supported signs across atlas periods were checked before plotting</w:t>
                            </w:r>
                            <w:r>
                              <w:rPr>
                                <w:rFonts w:hAnsi="Aptos"/>
                                <w:color w:val="000000" w:themeColor="text1"/>
                                <w:kern w:val="24"/>
                                <w:sz w:val="21"/>
                                <w:szCs w:val="21"/>
                              </w:rPr>
                              <w:t xml:space="preserve">. </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5FE69595" id="_x0000_s1028" type="#_x0000_t202" style="position:absolute;margin-left:-36pt;margin-top:380.45pt;width:537.85pt;height:266.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" filled="f" stroked="f">
                <v:textbox>
                  <w:txbxContent>
                    <w:p w14:paraId="465B2B5C" w14:textId="77777777" w:rsidR="00AD6420" w:rsidRDefault="00AD6420" w:rsidP="00AD6420">
                      <w:pPr>
                        <w:spacing w:before="200" w:line="360" w:lineRule="auto"/>
                        <w:rPr>
                          <w:rFonts w:hAnsi="Aptos"/>
                          <w:b/>
                          <w:bCs/>
                          <w:color w:val="000000" w:themeColor="text1"/>
                          <w:kern w:val="24"/>
                          <w:sz w:val="21"/>
                          <w:szCs w:val="21"/>
                        </w:rPr>
                      </w:pPr>
                      <w:r>
                        <w:rPr>
                          <w:rFonts w:hAnsi="Aptos"/>
                          <w:b/>
                          <w:bCs/>
                          <w:color w:val="000000" w:themeColor="text1"/>
                          <w:kern w:val="24"/>
                          <w:sz w:val="21"/>
                          <w:szCs w:val="21"/>
                        </w:rPr>
                        <w:t xml:space="preserve">Temporal consistency in avian characteristic x environment relationships </w:t>
                      </w:r>
                    </w:p>
                    <w:p w14:paraId="66EE7E5F" w14:textId="32A3C4A0" w:rsidR="00AD6420" w:rsidRPr="006956C8" w:rsidRDefault="006956C8" w:rsidP="00AD6420">
                      <w:pPr>
                        <w:spacing w:before="200" w:line="360" w:lineRule="auto"/>
                        <w:rPr>
                          <w:rFonts w:hAnsi="Aptos"/>
                          <w:b/>
                          <w:bCs/>
                          <w:color w:val="000000" w:themeColor="text1"/>
                          <w:kern w:val="24"/>
                          <w:sz w:val="21"/>
                          <w:szCs w:val="21"/>
                        </w:rPr>
                      </w:pPr>
                      <w:r w:rsidRPr="006956C8">
                        <w:rPr>
                          <w:rFonts w:hAnsi="Aptos"/>
                          <w:color w:val="000000" w:themeColor="text1"/>
                          <w:kern w:val="24"/>
                          <w:sz w:val="21"/>
                          <w:szCs w:val="21"/>
                        </w:rPr>
                        <w:t xml:space="preserve">Trait moderation of species-environment relationships across atlas periods. Tiles show the number of atlas-period HMSC models in which a trait had a supported Gamma coefficient for each environmental variable. Green tiles indicate positive trait </w:t>
                      </w:r>
                      <w:proofErr w:type="gramStart"/>
                      <w:r w:rsidRPr="006956C8">
                        <w:rPr>
                          <w:rFonts w:hAnsi="Aptos"/>
                          <w:color w:val="000000" w:themeColor="text1"/>
                          <w:kern w:val="24"/>
                          <w:sz w:val="21"/>
                          <w:szCs w:val="21"/>
                        </w:rPr>
                        <w:t>moderation</w:t>
                      </w:r>
                      <w:proofErr w:type="gramEnd"/>
                      <w:r w:rsidRPr="006956C8">
                        <w:rPr>
                          <w:rFonts w:hAnsi="Aptos"/>
                          <w:color w:val="000000" w:themeColor="text1"/>
                          <w:kern w:val="24"/>
                          <w:sz w:val="21"/>
                          <w:szCs w:val="21"/>
                        </w:rPr>
                        <w:t xml:space="preserve"> and red tiles indicate negative trait moderation; darker shades indicate support in more atlas periods. Near-white tiles indicate no supported effect. Panels separate species thermal index, migratory strategy, and foraging guild. For categorical traits, effects are interpreted relative to the model reference levels: long-distance migrants for migratory strategy and aerial insectivores for foraging guild. Trait-variable pairs with conflicting supported signs across atlas periods were checked before plotting</w:t>
                      </w:r>
                      <w:r>
                        <w:rPr>
                          <w:rFonts w:hAnsi="Aptos"/>
                          <w:color w:val="000000" w:themeColor="text1"/>
                          <w:kern w:val="24"/>
                          <w:sz w:val="21"/>
                          <w:szCs w:val="21"/>
                        </w:rPr>
                        <w:t xml:space="preserve">. </w:t>
                      </w:r>
                    </w:p>
                  </w:txbxContent>
                </v:textbox>
              </v:shape>
            </w:pict>
          </mc:Fallback>
        </mc:AlternateContent>
      </w:r>
      <w:r w:rsidR="000F5772">
        <w:rPr>
          <w:noProof/>
        </w:rPr>
        <w:drawing>
          <wp:inline distT="0" distB="0" distL="0" distR="0" wp14:anchorId="2DA754DC" wp14:editId="03FD9980">
            <wp:extent cx="6831106" cy="4730688"/>
            <wp:effectExtent l="0" t="0" r="1905" b="0"/>
            <wp:docPr id="9063174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17464" name="Picture 906317464"/>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81207" cy="4765384"/>
                    </a:xfrm>
                    <a:prstGeom prst="rect">
                      <a:avLst/>
                    </a:prstGeom>
                  </pic:spPr>
                </pic:pic>
              </a:graphicData>
            </a:graphic>
          </wp:inline>
        </w:drawing>
      </w:r>
    </w:p>
    <w:p w14:paraId="3401B5E9" w14:textId="4AABC940" w:rsidR="000F5772" w:rsidRDefault="000F5772" w:rsidP="000F5772">
      <w:pPr>
        <w:rPr>
          <w:noProof/>
        </w:rPr>
      </w:pPr>
    </w:p>
    <w:p w14:paraId="367C9CCB" w14:textId="7DB8E26F" w:rsidR="000F5772" w:rsidRDefault="000F5772">
      <w:r>
        <w:br w:type="page"/>
      </w:r>
    </w:p>
    <w:p w14:paraId="2288D6BB" w14:textId="7523DD05" w:rsidR="000F5772" w:rsidRDefault="00AD6420" w:rsidP="000F5772">
      <w:pPr>
        <w:ind w:hanging="720"/>
      </w:pPr>
      <w:r w:rsidRPr="00337360">
        <w:rPr>
          <w:noProof/>
        </w:rPr>
        <w:lastRenderedPageBreak/>
        <mc:AlternateContent>
          <mc:Choice Requires="wps">
            <w:drawing>
              <wp:anchor distT="0" distB="0" distL="114300" distR="114300" simplePos="0" relativeHeight="251661312" behindDoc="0" locked="0" layoutInCell="1" allowOverlap="1" wp14:anchorId="2E05F8B6" wp14:editId="4896B582">
                <wp:simplePos x="0" y="0"/>
                <wp:positionH relativeFrom="column">
                  <wp:posOffset>-457200</wp:posOffset>
                </wp:positionH>
                <wp:positionV relativeFrom="paragraph">
                  <wp:posOffset>6024281</wp:posOffset>
                </wp:positionV>
                <wp:extent cx="6839585" cy="1990165"/>
                <wp:effectExtent l="0" t="0" r="0" b="0"/>
                <wp:wrapNone/>
                <wp:docPr id="1090519935" name="Content Placeholder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39585" cy="1990165"/>
                        </a:xfrm>
                        <a:prstGeom prst="rect">
                          <a:avLst/>
                        </a:prstGeom>
                      </wps:spPr>
                      <wps:txbx>
                        <w:txbxContent>
                          <w:p w14:paraId="66E9C225" w14:textId="77777777" w:rsidR="00AD6420" w:rsidRDefault="00AD6420" w:rsidP="00AD6420">
                            <w:pPr>
                              <w:spacing w:before="200" w:line="360" w:lineRule="auto"/>
                              <w:rPr>
                                <w:rFonts w:hAnsi="Aptos"/>
                                <w:b/>
                                <w:bCs/>
                                <w:color w:val="000000" w:themeColor="text1"/>
                                <w:kern w:val="24"/>
                                <w:sz w:val="21"/>
                                <w:szCs w:val="21"/>
                              </w:rPr>
                            </w:pPr>
                            <w:r>
                              <w:rPr>
                                <w:rFonts w:hAnsi="Aptos"/>
                                <w:b/>
                                <w:bCs/>
                                <w:color w:val="000000" w:themeColor="text1"/>
                                <w:kern w:val="24"/>
                                <w:sz w:val="21"/>
                                <w:szCs w:val="21"/>
                              </w:rPr>
                              <w:t>Local predictors of avian richness and community dissimilarity</w:t>
                            </w:r>
                          </w:p>
                          <w:p w14:paraId="4D39EFAA" w14:textId="4D5F9526" w:rsidR="00AD6420" w:rsidRPr="00AD6420" w:rsidRDefault="00AD6420" w:rsidP="00AD6420">
                            <w:pPr>
                              <w:spacing w:before="200" w:line="360" w:lineRule="auto"/>
                              <w:rPr>
                                <w:rFonts w:hAnsi="Aptos"/>
                                <w:color w:val="000000" w:themeColor="text1"/>
                                <w:kern w:val="24"/>
                                <w:sz w:val="21"/>
                                <w:szCs w:val="21"/>
                                <w14:ligatures w14:val="none"/>
                              </w:rPr>
                            </w:pPr>
                            <w:r w:rsidRPr="00AD6420">
                              <w:rPr>
                                <w:rFonts w:hAnsi="Aptos"/>
                                <w:color w:val="000000" w:themeColor="text1"/>
                                <w:kern w:val="24"/>
                                <w:sz w:val="21"/>
                                <w:szCs w:val="21"/>
                              </w:rPr>
                              <w:t xml:space="preserve"> Dominant drivers of avian species richness and beta turnover across Denmark for the three breeding bird atlas periods. Each point represents a survey site, coloured by the variable with the highest significant local t-value (|t| &gt; 1.96) from </w:t>
                            </w:r>
                            <w:proofErr w:type="spellStart"/>
                            <w:r w:rsidRPr="00AD6420">
                              <w:rPr>
                                <w:rFonts w:hAnsi="Aptos"/>
                                <w:color w:val="000000" w:themeColor="text1"/>
                                <w:kern w:val="24"/>
                                <w:sz w:val="21"/>
                                <w:szCs w:val="21"/>
                              </w:rPr>
                              <w:t>Geographicaly</w:t>
                            </w:r>
                            <w:proofErr w:type="spellEnd"/>
                            <w:r w:rsidRPr="00AD6420">
                              <w:rPr>
                                <w:rFonts w:hAnsi="Aptos"/>
                                <w:color w:val="000000" w:themeColor="text1"/>
                                <w:kern w:val="24"/>
                                <w:sz w:val="21"/>
                                <w:szCs w:val="21"/>
                              </w:rPr>
                              <w:t xml:space="preserve"> Weighted Regression (GWR). Cross symbols indicate a significant negative effect, filled circles indicate a significant positive effect. Light grey points indicate no significant drivers at that site. </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2E05F8B6" id="_x0000_s1029" type="#_x0000_t202" style="position:absolute;margin-left:-36pt;margin-top:474.35pt;width:538.55pt;height:156.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" filled="f" stroked="f">
                <v:textbox>
                  <w:txbxContent>
                    <w:p w14:paraId="66E9C225" w14:textId="77777777" w:rsidR="00AD6420" w:rsidRDefault="00AD6420" w:rsidP="00AD6420">
                      <w:pPr>
                        <w:spacing w:before="200" w:line="360" w:lineRule="auto"/>
                        <w:rPr>
                          <w:rFonts w:hAnsi="Aptos"/>
                          <w:b/>
                          <w:bCs/>
                          <w:color w:val="000000" w:themeColor="text1"/>
                          <w:kern w:val="24"/>
                          <w:sz w:val="21"/>
                          <w:szCs w:val="21"/>
                        </w:rPr>
                      </w:pPr>
                      <w:r>
                        <w:rPr>
                          <w:rFonts w:hAnsi="Aptos"/>
                          <w:b/>
                          <w:bCs/>
                          <w:color w:val="000000" w:themeColor="text1"/>
                          <w:kern w:val="24"/>
                          <w:sz w:val="21"/>
                          <w:szCs w:val="21"/>
                        </w:rPr>
                        <w:t>Local predictors of avian richness and community dissimilarity</w:t>
                      </w:r>
                    </w:p>
                    <w:p w14:paraId="4D39EFAA" w14:textId="4D5F9526" w:rsidR="00AD6420" w:rsidRPr="00AD6420" w:rsidRDefault="00AD6420" w:rsidP="00AD6420">
                      <w:pPr>
                        <w:spacing w:before="200" w:line="360" w:lineRule="auto"/>
                        <w:rPr>
                          <w:rFonts w:hAnsi="Aptos"/>
                          <w:color w:val="000000" w:themeColor="text1"/>
                          <w:kern w:val="24"/>
                          <w:sz w:val="21"/>
                          <w:szCs w:val="21"/>
                          <w14:ligatures w14:val="none"/>
                        </w:rPr>
                      </w:pPr>
                      <w:r w:rsidRPr="00AD6420">
                        <w:rPr>
                          <w:rFonts w:hAnsi="Aptos"/>
                          <w:color w:val="000000" w:themeColor="text1"/>
                          <w:kern w:val="24"/>
                          <w:sz w:val="21"/>
                          <w:szCs w:val="21"/>
                        </w:rPr>
                        <w:t xml:space="preserve"> Dominant drivers of avian species richness and beta turnover across Denmark for the three breeding bird atlas periods. Each point represents a survey site, coloured by the variable with the highest significant local t-value (|t| &gt; 1.96) from </w:t>
                      </w:r>
                      <w:proofErr w:type="spellStart"/>
                      <w:r w:rsidRPr="00AD6420">
                        <w:rPr>
                          <w:rFonts w:hAnsi="Aptos"/>
                          <w:color w:val="000000" w:themeColor="text1"/>
                          <w:kern w:val="24"/>
                          <w:sz w:val="21"/>
                          <w:szCs w:val="21"/>
                        </w:rPr>
                        <w:t>Geographicaly</w:t>
                      </w:r>
                      <w:proofErr w:type="spellEnd"/>
                      <w:r w:rsidRPr="00AD6420">
                        <w:rPr>
                          <w:rFonts w:hAnsi="Aptos"/>
                          <w:color w:val="000000" w:themeColor="text1"/>
                          <w:kern w:val="24"/>
                          <w:sz w:val="21"/>
                          <w:szCs w:val="21"/>
                        </w:rPr>
                        <w:t xml:space="preserve"> Weighted Regression (GWR). Cross symbols indicate a significant negative effect, filled circles indicate a significant positive effect. Light grey points indicate no significant drivers at that site. </w:t>
                      </w:r>
                    </w:p>
                  </w:txbxContent>
                </v:textbox>
              </v:shape>
            </w:pict>
          </mc:Fallback>
        </mc:AlternateContent>
      </w:r>
      <w:r w:rsidR="000F5772">
        <w:rPr>
          <w:noProof/>
        </w:rPr>
        <w:drawing>
          <wp:inline distT="0" distB="0" distL="0" distR="0" wp14:anchorId="1B9A9453" wp14:editId="0CE33890">
            <wp:extent cx="6840071" cy="5974830"/>
            <wp:effectExtent l="0" t="0" r="5715" b="0"/>
            <wp:docPr id="13514704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70401" name="Picture 135147040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934405" cy="6057231"/>
                    </a:xfrm>
                    <a:prstGeom prst="rect">
                      <a:avLst/>
                    </a:prstGeom>
                  </pic:spPr>
                </pic:pic>
              </a:graphicData>
            </a:graphic>
          </wp:inline>
        </w:drawing>
      </w:r>
    </w:p>
    <w:p w14:paraId="6D505441" w14:textId="1DAC17B7" w:rsidR="000F5772" w:rsidRDefault="000F5772" w:rsidP="000F5772"/>
    <w:p w14:paraId="1B90BA5B" w14:textId="2EA0B4EF" w:rsidR="000F5772" w:rsidRDefault="000F5772" w:rsidP="000F5772">
      <w:pPr>
        <w:tabs>
          <w:tab w:val="left" w:pos="2485"/>
        </w:tabs>
      </w:pPr>
      <w:r>
        <w:tab/>
      </w:r>
    </w:p>
    <w:p w14:paraId="109CC3AD" w14:textId="2D7BC7BB" w:rsidR="000F5772" w:rsidRDefault="000F5772">
      <w:r>
        <w:br w:type="page"/>
      </w:r>
    </w:p>
    <w:p w14:paraId="5F073AF5" w14:textId="4B3F59A8" w:rsidR="000F5772" w:rsidRDefault="006956C8" w:rsidP="000F5772">
      <w:pPr>
        <w:tabs>
          <w:tab w:val="left" w:pos="2485"/>
        </w:tabs>
        <w:ind w:hanging="720"/>
        <w:rPr>
          <w:noProof/>
        </w:rPr>
      </w:pPr>
      <w:r w:rsidRPr="004921C5">
        <w:rPr>
          <w:noProof/>
          <w:u w:val="single"/>
        </w:rPr>
        <w:lastRenderedPageBreak/>
        <mc:AlternateContent>
          <mc:Choice Requires="wps">
            <w:drawing>
              <wp:anchor distT="0" distB="0" distL="114300" distR="114300" simplePos="0" relativeHeight="251667456" behindDoc="0" locked="0" layoutInCell="1" allowOverlap="1" wp14:anchorId="0C107F37" wp14:editId="771E0D9B">
                <wp:simplePos x="0" y="0"/>
                <wp:positionH relativeFrom="column">
                  <wp:posOffset>-457200</wp:posOffset>
                </wp:positionH>
                <wp:positionV relativeFrom="paragraph">
                  <wp:posOffset>6849035</wp:posOffset>
                </wp:positionV>
                <wp:extent cx="6714490" cy="1900518"/>
                <wp:effectExtent l="0" t="0" r="0" b="0"/>
                <wp:wrapNone/>
                <wp:docPr id="14" name="Content Placeholder 2">
                  <a:extLst xmlns:a="http://schemas.openxmlformats.org/drawingml/2006/main">
                    <a:ext uri="{FF2B5EF4-FFF2-40B4-BE49-F238E27FC236}">
                      <a16:creationId xmlns:a16="http://schemas.microsoft.com/office/drawing/2014/main" id="{3964640D-B263-E428-88B4-CFA4C232A8E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14490" cy="1900518"/>
                        </a:xfrm>
                        <a:prstGeom prst="rect">
                          <a:avLst/>
                        </a:prstGeom>
                      </wps:spPr>
                      <wps:txbx>
                        <w:txbxContent>
                          <w:p w14:paraId="1DF7B7F6" w14:textId="77777777" w:rsidR="006956C8" w:rsidRDefault="006956C8" w:rsidP="006956C8">
                            <w:pPr>
                              <w:spacing w:before="200" w:line="360" w:lineRule="auto"/>
                              <w:rPr>
                                <w:rFonts w:hAnsi="Aptos"/>
                                <w:b/>
                                <w:bCs/>
                                <w:color w:val="000000" w:themeColor="text1"/>
                                <w:kern w:val="24"/>
                                <w:sz w:val="21"/>
                                <w:szCs w:val="21"/>
                              </w:rPr>
                            </w:pPr>
                            <w:r>
                              <w:rPr>
                                <w:rFonts w:hAnsi="Aptos"/>
                                <w:b/>
                                <w:bCs/>
                                <w:color w:val="000000" w:themeColor="text1"/>
                                <w:kern w:val="24"/>
                                <w:sz w:val="21"/>
                                <w:szCs w:val="21"/>
                              </w:rPr>
                              <w:t xml:space="preserve">Avian species richness across the three atlas surveys </w:t>
                            </w:r>
                          </w:p>
                          <w:p w14:paraId="6D447B10" w14:textId="33DC1AAA" w:rsidR="006956C8" w:rsidRPr="006956C8" w:rsidRDefault="006956C8" w:rsidP="006956C8">
                            <w:pPr>
                              <w:spacing w:before="200" w:line="360" w:lineRule="auto"/>
                              <w:rPr>
                                <w:rFonts w:hAnsi="Aptos"/>
                                <w:color w:val="000000" w:themeColor="text1"/>
                                <w:kern w:val="24"/>
                                <w:sz w:val="21"/>
                                <w:szCs w:val="21"/>
                                <w14:ligatures w14:val="none"/>
                              </w:rPr>
                            </w:pPr>
                            <w:r w:rsidRPr="006956C8">
                              <w:rPr>
                                <w:rFonts w:hAnsi="Aptos"/>
                                <w:color w:val="000000" w:themeColor="text1"/>
                                <w:kern w:val="24"/>
                                <w:sz w:val="21"/>
                                <w:szCs w:val="21"/>
                              </w:rPr>
                              <w:t xml:space="preserve"> Predicted avian species richness from joint species distribution models fitted to three resurveys of Danish breeding birds in the (A) 1970s, (B) 1990s, and (C) 2010s. Species richness was estimated as the sum of predicted occurrence probabilities across species. Species-level model performance metrics derived from 10-fold cross-validation are shown in panel D. Predictions in panels A–C are based on models trained on the complete dataset.</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 w14:anchorId="0C107F37" id="_x0000_s1030" type="#_x0000_t202" style="position:absolute;margin-left:-36pt;margin-top:539.3pt;width:528.7pt;height:149.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" filled="f" stroked="f">
                <v:textbox>
                  <w:txbxContent>
                    <w:p w14:paraId="1DF7B7F6" w14:textId="77777777" w:rsidR="006956C8" w:rsidRDefault="006956C8" w:rsidP="006956C8">
                      <w:pPr>
                        <w:spacing w:before="200" w:line="360" w:lineRule="auto"/>
                        <w:rPr>
                          <w:rFonts w:hAnsi="Aptos"/>
                          <w:b/>
                          <w:bCs/>
                          <w:color w:val="000000" w:themeColor="text1"/>
                          <w:kern w:val="24"/>
                          <w:sz w:val="21"/>
                          <w:szCs w:val="21"/>
                        </w:rPr>
                      </w:pPr>
                      <w:r>
                        <w:rPr>
                          <w:rFonts w:hAnsi="Aptos"/>
                          <w:b/>
                          <w:bCs/>
                          <w:color w:val="000000" w:themeColor="text1"/>
                          <w:kern w:val="24"/>
                          <w:sz w:val="21"/>
                          <w:szCs w:val="21"/>
                        </w:rPr>
                        <w:t xml:space="preserve">Avian species richness across the three atlas surveys </w:t>
                      </w:r>
                    </w:p>
                    <w:p w14:paraId="6D447B10" w14:textId="33DC1AAA" w:rsidR="006956C8" w:rsidRPr="006956C8" w:rsidRDefault="006956C8" w:rsidP="006956C8">
                      <w:pPr>
                        <w:spacing w:before="200" w:line="360" w:lineRule="auto"/>
                        <w:rPr>
                          <w:rFonts w:hAnsi="Aptos"/>
                          <w:color w:val="000000" w:themeColor="text1"/>
                          <w:kern w:val="24"/>
                          <w:sz w:val="21"/>
                          <w:szCs w:val="21"/>
                          <w14:ligatures w14:val="none"/>
                        </w:rPr>
                      </w:pPr>
                      <w:r w:rsidRPr="006956C8">
                        <w:rPr>
                          <w:rFonts w:hAnsi="Aptos"/>
                          <w:color w:val="000000" w:themeColor="text1"/>
                          <w:kern w:val="24"/>
                          <w:sz w:val="21"/>
                          <w:szCs w:val="21"/>
                        </w:rPr>
                        <w:t xml:space="preserve"> Predicted avian species richness from joint species distribution models fitted to three resurveys of Danish breeding birds in the (A) 1970s, (B) 1990s, and (C) 2010s. Species richness was estimated as the sum of predicted occurrence probabilities across species. Species-level model performance metrics derived from 10-fold cross-validation are shown in panel D. Predictions in panels A–C are based on models trained on the complete dataset.</w:t>
                      </w:r>
                    </w:p>
                  </w:txbxContent>
                </v:textbox>
              </v:shape>
            </w:pict>
          </mc:Fallback>
        </mc:AlternateContent>
      </w:r>
      <w:r w:rsidR="000F5772">
        <w:rPr>
          <w:noProof/>
        </w:rPr>
        <w:drawing>
          <wp:inline distT="0" distB="0" distL="0" distR="0" wp14:anchorId="6FC58C2D" wp14:editId="58BE056E">
            <wp:extent cx="6714565" cy="6714565"/>
            <wp:effectExtent l="0" t="0" r="3810" b="3810"/>
            <wp:docPr id="15363636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63673" name="Picture 15363636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45179" cy="6745179"/>
                    </a:xfrm>
                    <a:prstGeom prst="rect">
                      <a:avLst/>
                    </a:prstGeom>
                  </pic:spPr>
                </pic:pic>
              </a:graphicData>
            </a:graphic>
          </wp:inline>
        </w:drawing>
      </w:r>
    </w:p>
    <w:p w14:paraId="55F63F23" w14:textId="035ABE33" w:rsidR="006956C8" w:rsidRPr="006956C8" w:rsidRDefault="006956C8" w:rsidP="006956C8">
      <w:pPr>
        <w:tabs>
          <w:tab w:val="left" w:pos="2485"/>
        </w:tabs>
      </w:pPr>
      <w:r>
        <w:tab/>
      </w:r>
    </w:p>
    <w:sectPr w:rsidR="006956C8" w:rsidRPr="006956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772"/>
    <w:rsid w:val="00023F4A"/>
    <w:rsid w:val="000F5772"/>
    <w:rsid w:val="00677DA5"/>
    <w:rsid w:val="006956C8"/>
    <w:rsid w:val="00AD6420"/>
    <w:rsid w:val="00CF0DE9"/>
    <w:rsid w:val="00D66966"/>
    <w:rsid w:val="00E148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0A31F"/>
  <w15:chartTrackingRefBased/>
  <w15:docId w15:val="{8E087B72-738C-1548-86C9-DD74BC271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0F57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57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57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57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57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57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7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7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7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772"/>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0F5772"/>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0F5772"/>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0F5772"/>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0F5772"/>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0F5772"/>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0F5772"/>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0F5772"/>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0F5772"/>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0F57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772"/>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F57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772"/>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0F5772"/>
    <w:pPr>
      <w:spacing w:before="160"/>
      <w:jc w:val="center"/>
    </w:pPr>
    <w:rPr>
      <w:i/>
      <w:iCs/>
      <w:color w:val="404040" w:themeColor="text1" w:themeTint="BF"/>
    </w:rPr>
  </w:style>
  <w:style w:type="character" w:customStyle="1" w:styleId="QuoteChar">
    <w:name w:val="Quote Char"/>
    <w:basedOn w:val="DefaultParagraphFont"/>
    <w:link w:val="Quote"/>
    <w:uiPriority w:val="29"/>
    <w:rsid w:val="000F5772"/>
    <w:rPr>
      <w:i/>
      <w:iCs/>
      <w:color w:val="404040" w:themeColor="text1" w:themeTint="BF"/>
      <w:lang w:val="en-GB"/>
    </w:rPr>
  </w:style>
  <w:style w:type="paragraph" w:styleId="ListParagraph">
    <w:name w:val="List Paragraph"/>
    <w:basedOn w:val="Normal"/>
    <w:uiPriority w:val="34"/>
    <w:qFormat/>
    <w:rsid w:val="000F5772"/>
    <w:pPr>
      <w:ind w:left="720"/>
      <w:contextualSpacing/>
    </w:pPr>
  </w:style>
  <w:style w:type="character" w:styleId="IntenseEmphasis">
    <w:name w:val="Intense Emphasis"/>
    <w:basedOn w:val="DefaultParagraphFont"/>
    <w:uiPriority w:val="21"/>
    <w:qFormat/>
    <w:rsid w:val="000F5772"/>
    <w:rPr>
      <w:i/>
      <w:iCs/>
      <w:color w:val="0F4761" w:themeColor="accent1" w:themeShade="BF"/>
    </w:rPr>
  </w:style>
  <w:style w:type="paragraph" w:styleId="IntenseQuote">
    <w:name w:val="Intense Quote"/>
    <w:basedOn w:val="Normal"/>
    <w:next w:val="Normal"/>
    <w:link w:val="IntenseQuoteChar"/>
    <w:uiPriority w:val="30"/>
    <w:qFormat/>
    <w:rsid w:val="000F57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5772"/>
    <w:rPr>
      <w:i/>
      <w:iCs/>
      <w:color w:val="0F4761" w:themeColor="accent1" w:themeShade="BF"/>
      <w:lang w:val="en-GB"/>
    </w:rPr>
  </w:style>
  <w:style w:type="character" w:styleId="IntenseReference">
    <w:name w:val="Intense Reference"/>
    <w:basedOn w:val="DefaultParagraphFont"/>
    <w:uiPriority w:val="32"/>
    <w:qFormat/>
    <w:rsid w:val="000F57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5</Words>
  <Characters>29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Wessel Henric Gantvoort Mulder</dc:creator>
  <cp:keywords/>
  <dc:description/>
  <cp:lastModifiedBy>Wessel Henric Gantvoort Mulder</cp:lastModifiedBy>
  <cp:revision>1</cp:revision>
  <cp:lastPrinted>2026-05-19T01:45:00Z</cp:lastPrinted>
  <dcterms:created xsi:type="dcterms:W3CDTF">2026-05-19T00:06:00Z</dcterms:created>
  <dcterms:modified xsi:type="dcterms:W3CDTF">2026-05-19T01:47:00Z</dcterms:modified>
</cp:coreProperties>
</file>