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6233F"/>
          <w:sz w:val="36"/>
        </w:rPr>
        <w:t>Spécification SPEC-LFB-BAL-01 rév. C</w:t>
      </w:r>
    </w:p>
    <w:p>
      <w:r>
        <w:rPr>
          <w:b w:val="0"/>
          <w:i/>
          <w:color w:val="6B7280"/>
          <w:sz w:val="20"/>
        </w:rPr>
        <w:t>Ligue de foot de Belmont · Ballon officiel de la saison 2027 · Ballon de match taille 5 · 15 juin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Champ</w:t>
            </w:r>
          </w:p>
        </w:tc>
        <w:tc>
          <w:tcPr>
            <w:tcW w:type="dxa" w:w="4873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Émetteur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Ligue de foot de Belmont (40 clubs, 500 ballons de match pour la saison 2027)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Fournisseur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Abibas Sport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Produit visé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Ballon de match LP-500 « Abibas Pro »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Révision en vigueur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rév. C, 15 juin 2026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Contact client</w:t>
            </w:r>
          </w:p>
        </w:tc>
        <w:tc>
          <w:tcPr>
            <w:tcW w:type="dxa" w:w="4873"/>
          </w:tcPr>
          <w:p>
            <w:r/>
            <w:r>
              <w:rPr>
                <w:b w:val="0"/>
                <w:i w:val="0"/>
                <w:sz w:val="19"/>
              </w:rPr>
              <w:t>Isabelle Roy, responsable de l’équipement de la Ligue de foot de Belmont</w:t>
            </w:r>
          </w:p>
        </w:tc>
      </w:tr>
    </w:tbl>
    <w:p/>
    <w:p>
      <w:pPr>
        <w:pStyle w:val="Heading1"/>
      </w:pPr>
      <w:r>
        <w:t>1. Historique des révisions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Révision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Date</w:t>
            </w:r>
          </w:p>
        </w:tc>
        <w:tc>
          <w:tcPr>
            <w:tcW w:type="dxa" w:w="3249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Modification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rév. A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novembre 2025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Création du document.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rév. B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février 2026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Ajout de l’exigence EX-05 (usure).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rév. C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15 juin 2026</w:t>
            </w:r>
          </w:p>
        </w:tc>
        <w:tc>
          <w:tcPr>
            <w:tcW w:type="dxa" w:w="3249"/>
          </w:tcPr>
          <w:p>
            <w:r/>
            <w:r>
              <w:rPr>
                <w:b w:val="0"/>
                <w:i w:val="0"/>
                <w:sz w:val="19"/>
              </w:rPr>
              <w:t>EX-01 : hauteur de lâcher portée de 1,8 m à 2,0 m.</w:t>
            </w:r>
          </w:p>
        </w:tc>
      </w:tr>
    </w:tbl>
    <w:p/>
    <w:p>
      <w:pPr>
        <w:pStyle w:val="Heading1"/>
      </w:pPr>
      <w:r>
        <w:t>2. Règles générales</w:t>
      </w:r>
    </w:p>
    <w:p>
      <w:pPr>
        <w:pStyle w:val="ListBullet"/>
      </w:pPr>
      <w:r>
        <w:rPr>
          <w:b w:val="0"/>
          <w:i w:val="0"/>
        </w:rPr>
        <w:t>Tous les essais sont réalisés sur le spécimen S/N L-0042, sauf accord écrit de la Ligue de foot de Belmont.</w:t>
      </w:r>
    </w:p>
    <w:p>
      <w:pPr>
        <w:pStyle w:val="ListBullet"/>
      </w:pPr>
      <w:r>
        <w:rPr>
          <w:b w:val="0"/>
          <w:i w:val="0"/>
        </w:rPr>
        <w:t>Toute déviation (nombre de tirs, spécimen, condition, unité) est signalée dans le rapport d’essai.</w:t>
      </w:r>
    </w:p>
    <w:p>
      <w:pPr>
        <w:pStyle w:val="ListBullet"/>
      </w:pPr>
      <w:r>
        <w:rPr>
          <w:b w:val="0"/>
          <w:i w:val="0"/>
        </w:rPr>
        <w:t>La conformité est prononcée par l’ingénieur responsable d’Abibas Sport, qui signe le rapport.</w:t>
      </w:r>
    </w:p>
    <w:p>
      <w:pPr>
        <w:pStyle w:val="ListBullet"/>
      </w:pPr>
      <w:r>
        <w:rPr>
          <w:b w:val="0"/>
          <w:i w:val="0"/>
        </w:rPr>
        <w:t>Conditionnement avant chaque essai : 24 h à 20 °C, ballon gonflé à 0,8 bar.</w:t>
      </w:r>
    </w:p>
    <w:p>
      <w:pPr>
        <w:pStyle w:val="ListBullet"/>
      </w:pPr>
      <w:r>
        <w:rPr>
          <w:b w:val="0"/>
          <w:i w:val="0"/>
        </w:rPr>
        <w:t>Les valeurs sont exprimées en °C, cm, g, bar, %, km/h et min.</w:t>
      </w:r>
    </w:p>
    <w:p>
      <w:pPr>
        <w:pStyle w:val="Heading1"/>
      </w:pPr>
      <w:r>
        <w:t>3. Exigences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Exigence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Essai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Conditions</w:t>
            </w:r>
          </w:p>
        </w:tc>
        <w:tc>
          <w:tcPr>
            <w:tcW w:type="dxa" w:w="2436"/>
            <w:shd w:val="clear" w:color="auto" w:fill="E6E9F0"/>
          </w:tcPr>
          <w:p>
            <w:r/>
            <w:r>
              <w:rPr>
                <w:b/>
                <w:i w:val="0"/>
                <w:sz w:val="19"/>
              </w:rPr>
              <w:t>Critères d’acceptation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EX-01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Rebond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Lâcher de 2,0 m sur plaque d’acier. 1 lâcher par position, 6 positions (P1 à P6). Ballon gonflé à 0,8 bar.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Aucun décollement de panneau. Rebond ≥ 135 cm à chaque position. VF après chaque lâcher.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EX-02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Tirs répétés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Machine à tirer, 50 km/h sur plaque d’acier, 3 séries de 1 000 tirs (T-1, T-2, T-3).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Pression résiduelle ≥ 0,64 bar (80 % de 0,8 bar) après chaque série. VF après chaque série.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EX-03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Absorption d’eau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Bac de rotation, 5 cycles de 3 min (50 rotations par cycle, 250 au total), 15 min au total.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Aucun décollement à l’examen. Prise d’eau ≤ 10 % de la masse.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EX-04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Froid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Stockage 16 h à −20 °C, puis rebond à −5 °C (lâcher de 2,0 m).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Rebond à froid ≥ 120 cm.</w:t>
            </w:r>
          </w:p>
        </w:tc>
      </w:tr>
      <w:tr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EX-05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Usure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500 cycles de tambour sur gazon synthétique à 23 °C.</w:t>
            </w:r>
          </w:p>
        </w:tc>
        <w:tc>
          <w:tcPr>
            <w:tcW w:type="dxa" w:w="2436"/>
          </w:tcPr>
          <w:p>
            <w:r/>
            <w:r>
              <w:rPr>
                <w:b w:val="0"/>
                <w:i w:val="0"/>
                <w:sz w:val="19"/>
              </w:rPr>
              <w:t>Perte de masse après 500 cycles ≤ 2,0 %.</w:t>
            </w:r>
          </w:p>
        </w:tc>
      </w:tr>
    </w:tbl>
    <w:p/>
    <w:p>
      <w:pPr>
        <w:pStyle w:val="Heading1"/>
      </w:pPr>
      <w:r>
        <w:t>4. Vérification fonctionnelle (VF)</w:t>
      </w:r>
    </w:p>
    <w:p>
      <w:r>
        <w:rPr>
          <w:b w:val="0"/>
          <w:i w:val="0"/>
        </w:rPr>
        <w:t>La VF comprend trois points :</w:t>
      </w:r>
    </w:p>
    <w:p>
      <w:pPr>
        <w:pStyle w:val="ListBullet"/>
      </w:pPr>
      <w:r>
        <w:rPr>
          <w:b w:val="0"/>
          <w:i w:val="0"/>
        </w:rPr>
        <w:t>le ballon tient sa pression 1 h à 0,8 bar (perte ≤ 0,05 bar) ;</w:t>
      </w:r>
    </w:p>
    <w:p>
      <w:pPr>
        <w:pStyle w:val="ListBullet"/>
      </w:pPr>
      <w:r>
        <w:rPr>
          <w:b w:val="0"/>
          <w:i w:val="0"/>
        </w:rPr>
        <w:t>aucune couture n’est ouverte ;</w:t>
      </w:r>
    </w:p>
    <w:p>
      <w:pPr>
        <w:pStyle w:val="ListBullet"/>
      </w:pPr>
      <w:r>
        <w:rPr>
          <w:b w:val="0"/>
          <w:i w:val="0"/>
        </w:rPr>
        <w:t>la valve est étanche.</w:t>
      </w:r>
    </w:p>
    <w:p>
      <w:pPr>
        <w:pStyle w:val="Heading1"/>
      </w:pPr>
      <w:r>
        <w:t>5. Documents à remettre</w:t>
      </w:r>
    </w:p>
    <w:p>
      <w:pPr>
        <w:pStyle w:val="ListBullet"/>
      </w:pPr>
      <w:r>
        <w:rPr>
          <w:b w:val="0"/>
          <w:i w:val="0"/>
        </w:rPr>
        <w:t>Un rapport d’essai par campagne, signé par l’ingénieur responsable d’Abibas Sport.</w:t>
      </w:r>
    </w:p>
    <w:p>
      <w:pPr>
        <w:pStyle w:val="ListBullet"/>
      </w:pPr>
      <w:r>
        <w:rPr>
          <w:b w:val="0"/>
          <w:i w:val="0"/>
        </w:rPr>
        <w:t>Le tableau de résultats de la campagne.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/>
        <w:color w:val="6B7280"/>
        <w:sz w:val="16"/>
      </w:rPr>
      <w:t>Document fictif de formation · Abibas Sport, la Ligue de foot de Belmont, les personnes et toutes les valeurs sont inventés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 w:val="0"/>
        <w:i w:val="0"/>
        <w:color w:val="6B7280"/>
        <w:sz w:val="17"/>
      </w:rPr>
      <w:t>Abibas Sport · SPEC-LFB-BAL-01 rév.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1623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16233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cs="Calibri"/>
      <w:b/>
      <w:bCs/>
      <w:color w:val="16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cs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