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Méthodes d’essai Abibas · MET-01 à MET-05</w:t>
      </w:r>
    </w:p>
    <w:p>
      <w:r>
        <w:rPr>
          <w:b w:val="0"/>
          <w:i/>
          <w:color w:val="6B7280"/>
          <w:sz w:val="20"/>
        </w:rPr>
        <w:t>Laboratoire d’essais Abibas Sport · Une fiche courte par essai · rév. D, avril 2026</w:t>
      </w:r>
    </w:p>
    <w:p>
      <w:r>
        <w:rPr>
          <w:b w:val="0"/>
          <w:i w:val="0"/>
        </w:rPr>
        <w:t>Chaque fiche dit comment préparer le spécimen, quoi mesurer et quand faire la VF. Les critères d’acceptation viennent toujours de la spécification du client, jamais de cette fiche.</w:t>
      </w:r>
    </w:p>
    <w:p>
      <w:r>
        <w:rPr>
          <w:b w:val="0"/>
          <w:i w:val="0"/>
        </w:rPr>
        <w:t>VF (vérification fonctionnelle) : le ballon tient sa pression 1 h à 0,8 bar (perte ≤ 0,05 bar), aucune couture n’est ouverte, la valve est étanche.</w:t>
      </w:r>
    </w:p>
    <w:p>
      <w:pPr>
        <w:pStyle w:val="Heading1"/>
      </w:pPr>
      <w:r>
        <w:t>MET-01 · Rebond</w:t>
      </w:r>
    </w:p>
    <w:p>
      <w:pPr>
        <w:pStyle w:val="ListBullet"/>
      </w:pPr>
      <w:r>
        <w:rPr>
          <w:b w:val="0"/>
          <w:i w:val="0"/>
        </w:rPr>
        <w:t>Préparation : conditionnement 24 h à 20 °C, pression réglée à 0,8 bar (à vérifier et noter avant l’essai). Banc de rebond BR-1, plaque d’acier.</w:t>
      </w:r>
    </w:p>
    <w:p>
      <w:pPr>
        <w:pStyle w:val="ListBullet"/>
      </w:pPr>
      <w:r>
        <w:rPr>
          <w:b w:val="0"/>
          <w:i w:val="0"/>
        </w:rPr>
        <w:t>Hauteur : mesurée entre le bas du ballon et la plaque, selon la révision en vigueur de la spécification.</w:t>
      </w:r>
    </w:p>
    <w:p>
      <w:pPr>
        <w:pStyle w:val="ListBullet"/>
      </w:pPr>
      <w:r>
        <w:rPr>
          <w:b w:val="0"/>
          <w:i w:val="0"/>
        </w:rPr>
        <w:t>Ordre : un lâcher par position, dans l’ordre P1 à P6 (six points d’impact repérés sur les panneaux).</w:t>
      </w:r>
    </w:p>
    <w:p>
      <w:pPr>
        <w:pStyle w:val="ListBullet"/>
      </w:pPr>
      <w:r>
        <w:rPr>
          <w:b w:val="0"/>
          <w:i w:val="0"/>
        </w:rPr>
        <w:t>Mesures : hauteur du rebond par caméra rapide, en cm ; inspection des panneaux (décollement) ; photo avant et après.</w:t>
      </w:r>
    </w:p>
    <w:p>
      <w:pPr>
        <w:pStyle w:val="ListBullet"/>
      </w:pPr>
      <w:r>
        <w:rPr>
          <w:b w:val="0"/>
          <w:i w:val="0"/>
        </w:rPr>
        <w:t>VF : après chaque lâcher.</w:t>
      </w:r>
    </w:p>
    <w:p>
      <w:pPr>
        <w:pStyle w:val="Heading1"/>
      </w:pPr>
      <w:r>
        <w:t>MET-02 · Tirs répétés</w:t>
      </w:r>
    </w:p>
    <w:p>
      <w:pPr>
        <w:pStyle w:val="ListBullet"/>
      </w:pPr>
      <w:r>
        <w:rPr>
          <w:b w:val="0"/>
          <w:i w:val="0"/>
        </w:rPr>
        <w:t>Préparation : ballon gonflé à 0,8 bar, machine à tirer MT-1 réglée à 50 km/h, plaque d’acier à 2,5 m.</w:t>
      </w:r>
    </w:p>
    <w:p>
      <w:pPr>
        <w:pStyle w:val="ListBullet"/>
      </w:pPr>
      <w:r>
        <w:rPr>
          <w:b w:val="0"/>
          <w:i w:val="0"/>
        </w:rPr>
        <w:t>Séries : 1 000 tirs par série, nombre de séries selon la spécification (T-1, T-2, T-3).</w:t>
      </w:r>
    </w:p>
    <w:p>
      <w:pPr>
        <w:pStyle w:val="ListBullet"/>
      </w:pPr>
      <w:r>
        <w:rPr>
          <w:b w:val="0"/>
          <w:i w:val="0"/>
        </w:rPr>
        <w:t>Mesures : vitesse de tir relevée tous les 100 tirs ; pression résiduelle au manomètre après chaque série, en bar.</w:t>
      </w:r>
    </w:p>
    <w:p>
      <w:pPr>
        <w:pStyle w:val="ListBullet"/>
      </w:pPr>
      <w:r>
        <w:rPr>
          <w:b w:val="0"/>
          <w:i w:val="0"/>
        </w:rPr>
        <w:t>VF : après chaque série.</w:t>
      </w:r>
    </w:p>
    <w:p>
      <w:pPr>
        <w:pStyle w:val="ListBullet"/>
      </w:pPr>
      <w:r>
        <w:rPr>
          <w:b w:val="0"/>
          <w:i w:val="0"/>
        </w:rPr>
        <w:t>Rappel : une série arrêtée avant la fin est une déviation à noter (voir LA-07).</w:t>
      </w:r>
    </w:p>
    <w:p>
      <w:pPr>
        <w:pStyle w:val="Heading1"/>
      </w:pPr>
      <w:r>
        <w:t>MET-03 · Absorption d’eau</w:t>
      </w:r>
    </w:p>
    <w:p>
      <w:pPr>
        <w:pStyle w:val="ListBullet"/>
      </w:pPr>
      <w:r>
        <w:rPr>
          <w:b w:val="0"/>
          <w:i w:val="0"/>
        </w:rPr>
        <w:t>Préparation : ballon pesé à sec, au gramme près.</w:t>
      </w:r>
    </w:p>
    <w:p>
      <w:pPr>
        <w:pStyle w:val="ListBullet"/>
      </w:pPr>
      <w:r>
        <w:rPr>
          <w:b w:val="0"/>
          <w:i w:val="0"/>
        </w:rPr>
        <w:t>Bac de rotation BR-2 : 5 cycles de 3 min, 50 rotations par cycle, eau à 20 °C.</w:t>
      </w:r>
    </w:p>
    <w:p>
      <w:pPr>
        <w:pStyle w:val="ListBullet"/>
      </w:pPr>
      <w:r>
        <w:rPr>
          <w:b w:val="0"/>
          <w:i w:val="0"/>
        </w:rPr>
        <w:t>Mesures : examen des panneaux (décollement) ; pesée après essuyage ; prise d’eau en % de la masse sèche.</w:t>
      </w:r>
    </w:p>
    <w:p>
      <w:pPr>
        <w:pStyle w:val="ListBullet"/>
      </w:pPr>
      <w:r>
        <w:rPr>
          <w:b w:val="0"/>
          <w:i w:val="0"/>
        </w:rPr>
        <w:t>VF : après l’essai.</w:t>
      </w:r>
    </w:p>
    <w:p>
      <w:pPr>
        <w:pStyle w:val="Heading1"/>
      </w:pPr>
      <w:r>
        <w:t>MET-04 · Froid</w:t>
      </w:r>
    </w:p>
    <w:p>
      <w:pPr>
        <w:pStyle w:val="ListBullet"/>
      </w:pPr>
      <w:r>
        <w:rPr>
          <w:b w:val="0"/>
          <w:i w:val="0"/>
        </w:rPr>
        <w:t>Préparation : ballon gonflé à 0,8 bar, dans l’enceinte climatique EC-2.</w:t>
      </w:r>
    </w:p>
    <w:p>
      <w:pPr>
        <w:pStyle w:val="ListBullet"/>
      </w:pPr>
      <w:r>
        <w:rPr>
          <w:b w:val="0"/>
          <w:i w:val="0"/>
        </w:rPr>
        <w:t>Palier : stockage à la température et pour la durée de la spécification. Enceinte réglée et relevée en °C (voir LA-12).</w:t>
      </w:r>
    </w:p>
    <w:p>
      <w:pPr>
        <w:pStyle w:val="ListBullet"/>
      </w:pPr>
      <w:r>
        <w:rPr>
          <w:b w:val="0"/>
          <w:i w:val="0"/>
        </w:rPr>
        <w:t>Mesures : rebond à −5 °C (lâcher de 2,0 m), en cm, dans les 2 min après la sortie de l’enceinte.</w:t>
      </w:r>
    </w:p>
    <w:p>
      <w:pPr>
        <w:pStyle w:val="ListBullet"/>
      </w:pPr>
      <w:r>
        <w:rPr>
          <w:b w:val="0"/>
          <w:i w:val="0"/>
        </w:rPr>
        <w:t>VF : après retour à 20 °C.</w:t>
      </w:r>
    </w:p>
    <w:p>
      <w:pPr>
        <w:pStyle w:val="Heading1"/>
      </w:pPr>
      <w:r>
        <w:t>MET-05 · Usure</w:t>
      </w:r>
    </w:p>
    <w:p>
      <w:pPr>
        <w:pStyle w:val="ListBullet"/>
      </w:pPr>
      <w:r>
        <w:rPr>
          <w:b w:val="0"/>
          <w:i w:val="0"/>
        </w:rPr>
        <w:t>Préparation : tambour d’usure TU-1 garni de gazon synthétique, 23 °C ; ballon pesé avant l’essai.</w:t>
      </w:r>
    </w:p>
    <w:p>
      <w:pPr>
        <w:pStyle w:val="ListBullet"/>
      </w:pPr>
      <w:r>
        <w:rPr>
          <w:b w:val="0"/>
          <w:i w:val="0"/>
        </w:rPr>
        <w:t>Cycle : un cycle = un tour complet du tambour (environ 40 impacts sur le gazon).</w:t>
      </w:r>
    </w:p>
    <w:p>
      <w:pPr>
        <w:pStyle w:val="ListBullet"/>
      </w:pPr>
      <w:r>
        <w:rPr>
          <w:b w:val="0"/>
          <w:i w:val="0"/>
        </w:rPr>
        <w:t>Mesures : masse mesurée tous les 50 cycles ; perte de masse en % ; nombre de cycles réalisés noté chaque jour.</w:t>
      </w:r>
    </w:p>
    <w:p>
      <w:pPr>
        <w:pStyle w:val="ListBullet"/>
      </w:pPr>
      <w:r>
        <w:rPr>
          <w:b w:val="0"/>
          <w:i w:val="0"/>
        </w:rPr>
        <w:t>VF : tous les 100 cycles et en fin d’essai.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MET-01 à MET-05 rév. 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