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Politique IA et confidentialité</w:t>
      </w:r>
    </w:p>
    <w:p>
      <w:r>
        <w:rPr>
          <w:b w:val="0"/>
          <w:i/>
          <w:color w:val="6B7280"/>
          <w:sz w:val="20"/>
        </w:rPr>
        <w:t>Abibas Sport · Approuvée par Nadia Lefebvre, directrice générale · Mise en œuvre : Alex Morin, TI · rév. A, juin 2026</w:t>
      </w:r>
    </w:p>
    <w:p>
      <w:pPr>
        <w:pStyle w:val="Heading1"/>
      </w:pPr>
      <w:r>
        <w:t>1. La règle d’or</w:t>
      </w:r>
    </w:p>
    <w:p>
      <w:r>
        <w:rPr>
          <w:b w:val="0"/>
          <w:i w:val="0"/>
        </w:rPr>
        <w:t>L’IA rédige, l’humain valide et signe. L’IA ne prononce jamais la conformité, ne signe rien et n’envoie rien.</w:t>
      </w:r>
    </w:p>
    <w:p>
      <w:pPr>
        <w:pStyle w:val="Heading1"/>
      </w:pPr>
      <w:r>
        <w:t>2. Les quatre règles</w:t>
      </w:r>
    </w:p>
    <w:p>
      <w:pPr>
        <w:pStyle w:val="ListNumber"/>
      </w:pPr>
      <w:r>
        <w:rPr>
          <w:b w:val="0"/>
          <w:i w:val="0"/>
        </w:rPr>
        <w:t>Les données client vont seulement dans les outils approuvés par la TI.</w:t>
      </w:r>
    </w:p>
    <w:p>
      <w:pPr>
        <w:pStyle w:val="ListNumber"/>
      </w:pPr>
      <w:r>
        <w:rPr>
          <w:b w:val="0"/>
          <w:i w:val="0"/>
        </w:rPr>
        <w:t>Tout brouillon produit avec l’IA est marqué comme tel, jusqu’à la validation humaine.</w:t>
      </w:r>
    </w:p>
    <w:p>
      <w:pPr>
        <w:pStyle w:val="ListNumber"/>
      </w:pPr>
      <w:r>
        <w:rPr>
          <w:b w:val="0"/>
          <w:i w:val="0"/>
        </w:rPr>
        <w:t>Aucun envoi automatique : un humain envoie, après relecture.</w:t>
      </w:r>
    </w:p>
    <w:p>
      <w:pPr>
        <w:pStyle w:val="ListNumber"/>
      </w:pPr>
      <w:r>
        <w:rPr>
          <w:b w:val="0"/>
          <w:i w:val="0"/>
        </w:rPr>
        <w:t>Un humain valide tout ce qui sort d’Abibas Sport (rapport, offre, courriel).</w:t>
      </w:r>
    </w:p>
    <w:p>
      <w:pPr>
        <w:pStyle w:val="Heading1"/>
      </w:pPr>
      <w:r>
        <w:t>3. Les outils : feu vert, orange, rouge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Feu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Quoi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Exemples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Vert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Outils approuvés par la TI, compte Abibas, données client permises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Claude (espace Abibas), Abacus ChatLLM (espace Abibas)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Orange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Outils approuvés, sans données 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Recherche web, traduction de textes publics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Rouge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Outils non approuvés ou comptes personnels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Tout compte gratuit ou personnel, toute extension non validée</w:t>
            </w:r>
          </w:p>
        </w:tc>
      </w:tr>
    </w:tbl>
    <w:p/>
    <w:p>
      <w:pPr>
        <w:pStyle w:val="Heading1"/>
      </w:pPr>
      <w:r>
        <w:t>4. Ce qu’on ne met jamais dans un outil d’IA</w:t>
      </w:r>
    </w:p>
    <w:p>
      <w:pPr>
        <w:pStyle w:val="ListBullet"/>
      </w:pPr>
      <w:r>
        <w:rPr>
          <w:b w:val="0"/>
          <w:i w:val="0"/>
        </w:rPr>
        <w:t>Des normes sous licence ou des documents dont Abibas n’a pas les droits.</w:t>
      </w:r>
    </w:p>
    <w:p>
      <w:pPr>
        <w:pStyle w:val="ListBullet"/>
      </w:pPr>
      <w:r>
        <w:rPr>
          <w:b w:val="0"/>
          <w:i w:val="0"/>
        </w:rPr>
        <w:t>Des données personnelles sans besoin.</w:t>
      </w:r>
    </w:p>
    <w:p>
      <w:pPr>
        <w:pStyle w:val="ListBullet"/>
      </w:pPr>
      <w:r>
        <w:rPr>
          <w:b w:val="0"/>
          <w:i w:val="0"/>
        </w:rPr>
        <w:t>Des mots de passe ou des accès.</w:t>
      </w:r>
    </w:p>
    <w:p>
      <w:pPr>
        <w:pStyle w:val="ListBullet"/>
      </w:pPr>
      <w:r>
        <w:rPr>
          <w:b w:val="0"/>
          <w:i w:val="0"/>
        </w:rPr>
        <w:t>Tout le dossier « au cas où » : on donne seulement ce qui sert à la tâche.</w:t>
      </w:r>
    </w:p>
    <w:p>
      <w:pPr>
        <w:pStyle w:val="Heading1"/>
      </w:pPr>
      <w:r>
        <w:t>5. En cas de doute</w:t>
      </w:r>
    </w:p>
    <w:p>
      <w:r>
        <w:rPr>
          <w:b w:val="0"/>
          <w:i w:val="0"/>
        </w:rPr>
        <w:t>Demander à Alex Morin (TI) avant d’utiliser l’outil.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POL-IA-01 rév.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