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Plan d’essai PE-L500-01 · Ballon LP-500</w:t>
      </w:r>
    </w:p>
    <w:p>
      <w:r>
        <w:rPr>
          <w:b w:val="0"/>
          <w:i/>
          <w:color w:val="6B7280"/>
          <w:sz w:val="20"/>
        </w:rPr>
        <w:t>Campagne de qualification pour la Ligue de foot de Belmont · rév. A, 28 septembre 2026 · Préparé par Marc Gagnon, approuvé par Julie Tremblay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Champ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Produit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Ballon de match LP-500 « Abibas Pro 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Spécification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SPEC-LFB-BAL-01 rév. 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Spécimen principal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S/N L-0042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Spécimen de réserve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S/N L-0043 (utilisation seulement avec l’accord écrit du client)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Période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Semaines 41 à 46 de 2026</w:t>
            </w:r>
          </w:p>
        </w:tc>
      </w:tr>
    </w:tbl>
    <w:p/>
    <w:p>
      <w:pPr>
        <w:pStyle w:val="Heading1"/>
      </w:pPr>
      <w:r>
        <w:t>1. Ordre des essais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N°</w:t>
            </w:r>
          </w:p>
        </w:tc>
        <w:tc>
          <w:tcPr>
            <w:tcW w:type="dxa" w:w="1392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Essai</w:t>
            </w:r>
          </w:p>
        </w:tc>
        <w:tc>
          <w:tcPr>
            <w:tcW w:type="dxa" w:w="1392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Exigence</w:t>
            </w:r>
          </w:p>
        </w:tc>
        <w:tc>
          <w:tcPr>
            <w:tcW w:type="dxa" w:w="1392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Méthode</w:t>
            </w:r>
          </w:p>
        </w:tc>
        <w:tc>
          <w:tcPr>
            <w:tcW w:type="dxa" w:w="1392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Spécimen</w:t>
            </w:r>
          </w:p>
        </w:tc>
        <w:tc>
          <w:tcPr>
            <w:tcW w:type="dxa" w:w="1392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Semaine prévue</w:t>
            </w:r>
          </w:p>
        </w:tc>
        <w:tc>
          <w:tcPr>
            <w:tcW w:type="dxa" w:w="1392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Durée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P-1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Rebond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EX-01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MET-01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S/N L-0042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41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2 jours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P-2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Tirs répétés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EX-02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MET-02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S/N L-0042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41–42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4 jours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P-3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Absorption d’eau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EX-03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MET-03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S/N L-0042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42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1 jour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P-4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Froid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EX-04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MET-04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S/N L-0042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42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2 jours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P-5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Usure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EX-05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MET-05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S/N L-0042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43–46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9"/>
              </w:rPr>
              <w:t>30 jours</w:t>
            </w:r>
          </w:p>
        </w:tc>
      </w:tr>
    </w:tbl>
    <w:p/>
    <w:p>
      <w:pPr>
        <w:pStyle w:val="Heading1"/>
      </w:pPr>
      <w:r>
        <w:t>2. Règles de la campagne</w:t>
      </w:r>
    </w:p>
    <w:p>
      <w:pPr>
        <w:pStyle w:val="ListBullet"/>
      </w:pPr>
      <w:r>
        <w:rPr>
          <w:b w:val="0"/>
          <w:i w:val="0"/>
        </w:rPr>
        <w:t>Les essais destructifs ou longs viennent en dernier : l’usure commence après les quatre autres essais.</w:t>
      </w:r>
    </w:p>
    <w:p>
      <w:pPr>
        <w:pStyle w:val="ListBullet"/>
      </w:pPr>
      <w:r>
        <w:rPr>
          <w:b w:val="0"/>
          <w:i w:val="0"/>
        </w:rPr>
        <w:t>Chaque valeur est notée dans le tableau de résultats, avec son unité et le S/N.</w:t>
      </w:r>
    </w:p>
    <w:p>
      <w:pPr>
        <w:pStyle w:val="ListBullet"/>
      </w:pPr>
      <w:r>
        <w:rPr>
          <w:b w:val="0"/>
          <w:i w:val="0"/>
        </w:rPr>
        <w:t>Toute déviation est notée dans la colonne Remarque le jour même.</w:t>
      </w:r>
    </w:p>
    <w:p>
      <w:pPr>
        <w:pStyle w:val="ListBullet"/>
      </w:pPr>
      <w:r>
        <w:rPr>
          <w:b w:val="0"/>
          <w:i w:val="0"/>
        </w:rPr>
        <w:t>Le rapport RA-L500-01 est rédigé selon PR-QUA-02, dans les 5 jours ouvrables après la fin des essais.</w:t>
      </w:r>
    </w:p>
    <w:p>
      <w:pPr>
        <w:pStyle w:val="Heading1"/>
      </w:pPr>
      <w:r>
        <w:t>3. Moyens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Moyen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Utilisé pour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Banc de rebond BR-1 et plaque d’acier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P-1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Machine à tirer MT-1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P-2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Bac de rotation BR-2 et balance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P-3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Enceinte climatique EC-2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P-4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Tambour d’usure TU-1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P-5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PE-L500-01 rév.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