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i w:val="0"/>
          <w:color w:val="16233F"/>
          <w:sz w:val="36"/>
        </w:rPr>
        <w:t>PR-LAB-04 · Étalonnage et vérification des instruments</w:t>
      </w:r>
    </w:p>
    <w:p>
      <w:pPr/>
      <w:r>
        <w:rPr>
          <w:b w:val="0"/>
          <w:i/>
          <w:color w:val="6B7280"/>
          <w:sz w:val="20"/>
        </w:rPr>
        <w:t>Procédure laboratoire Abibas Sport · rév. C, septembre 2026 · Propriétaire : Julie Tremblay</w:t>
      </w:r>
    </w:p>
    <w:p>
      <w:pPr>
        <w:pStyle w:val="Heading1"/>
      </w:pPr>
      <w:r>
        <w:rPr>
          <w:b w:val="0"/>
          <w:i w:val="0"/>
        </w:rPr>
        <w:t>1. But</w:t>
      </w:r>
    </w:p>
    <w:p>
      <w:pPr/>
      <w:r>
        <w:rPr>
          <w:b w:val="0"/>
          <w:i w:val="0"/>
        </w:rPr>
        <w:t>Garantir que chaque mesure d’un rapport d’essai vient d’un instrument étalonné et vérifié. Un instrument dont l’étalonnage est échu ne sert à aucun essai.</w:t>
      </w:r>
    </w:p>
    <w:p>
      <w:pPr>
        <w:pStyle w:val="Heading1"/>
      </w:pPr>
      <w:r>
        <w:rPr>
          <w:b w:val="0"/>
          <w:i w:val="0"/>
        </w:rPr>
        <w:t>2. Domaine</w:t>
      </w:r>
    </w:p>
    <w:p>
      <w:pPr/>
      <w:r>
        <w:rPr>
          <w:b w:val="0"/>
          <w:i w:val="0"/>
        </w:rPr>
        <w:t>Tous les instruments utilisés pour les essais MET-01 à MET-05, au laboratoire d’essais d’Abibas Sport.</w:t>
      </w:r>
    </w:p>
    <w:p>
      <w:pPr>
        <w:pStyle w:val="Heading1"/>
      </w:pPr>
      <w:r>
        <w:rPr>
          <w:b w:val="0"/>
          <w:i w:val="0"/>
        </w:rPr>
        <w:t>3. Les instruments et leur étalonnage</w:t>
      </w:r>
    </w:p>
    <w:p>
      <w:pPr/>
      <w:r>
        <w:rPr>
          <w:b w:val="0"/>
          <w:i w:val="0"/>
        </w:rPr>
        <w:t>L’étalonnage est fait par un laboratoire externe accrédité. Le certificat est rangé dans le dossier de l’instrument.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Merge w:val="restart"/>
            <w:shd w:val="clear" w:color="auto" w:fill="E6E9F0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1392"/>
            <w:vMerge w:val="restart"/>
            <w:shd w:val="clear" w:color="auto" w:fill="E6E9F0"/>
          </w:tcPr>
          <w:p>
            <w:r/>
            <w:r>
              <w:rPr>
                <w:b/>
              </w:rPr>
              <w:t>Instrument</w:t>
            </w:r>
          </w:p>
        </w:tc>
        <w:tc>
          <w:tcPr>
            <w:tcW w:type="dxa" w:w="1392"/>
            <w:vMerge w:val="restart"/>
            <w:shd w:val="clear" w:color="auto" w:fill="E6E9F0"/>
          </w:tcPr>
          <w:p>
            <w:r/>
            <w:r>
              <w:rPr>
                <w:b/>
              </w:rPr>
              <w:t>Grandeur mesurée</w:t>
            </w:r>
          </w:p>
        </w:tc>
        <w:tc>
          <w:tcPr>
            <w:tcW w:type="dxa" w:w="1392"/>
            <w:vMerge w:val="restart"/>
            <w:shd w:val="clear" w:color="auto" w:fill="E6E9F0"/>
          </w:tcPr>
          <w:p>
            <w:r/>
            <w:r>
              <w:rPr>
                <w:b/>
              </w:rPr>
              <w:t>Tolérance</w:t>
            </w:r>
          </w:p>
        </w:tc>
        <w:tc>
          <w:tcPr>
            <w:tcW w:type="dxa" w:w="1392"/>
            <w:vMerge w:val="restart"/>
            <w:shd w:val="clear" w:color="auto" w:fill="E6E9F0"/>
          </w:tcPr>
          <w:p>
            <w:r/>
            <w:r>
              <w:rPr>
                <w:b/>
              </w:rPr>
              <w:t>Périodicité</w:t>
            </w:r>
          </w:p>
        </w:tc>
        <w:tc>
          <w:tcPr>
            <w:tcW w:type="dxa" w:w="2784"/>
            <w:gridSpan w:val="2"/>
            <w:shd w:val="clear" w:color="auto" w:fill="E6E9F0"/>
          </w:tcPr>
          <w:p>
            <w:pPr>
              <w:jc w:val="center"/>
            </w:pPr>
            <w:r/>
            <w:r>
              <w:rPr>
                <w:b/>
              </w:rPr>
              <w:t>Étalonnage</w:t>
            </w:r>
          </w:p>
        </w:tc>
      </w:tr>
      <w:tr>
        <w:tc>
          <w:tcPr>
            <w:tcW w:type="dxa" w:w="1392"/>
            <w:vMerge/>
            <w:shd w:val="clear" w:color="auto" w:fill="E6E9F0"/>
          </w:tcPr>
          <w:p/>
        </w:tc>
        <w:tc>
          <w:tcPr>
            <w:tcW w:type="dxa" w:w="1392"/>
            <w:vMerge/>
            <w:shd w:val="clear" w:color="auto" w:fill="E6E9F0"/>
          </w:tcPr>
          <w:p/>
        </w:tc>
        <w:tc>
          <w:tcPr>
            <w:tcW w:type="dxa" w:w="1392"/>
            <w:vMerge/>
            <w:shd w:val="clear" w:color="auto" w:fill="E6E9F0"/>
          </w:tcPr>
          <w:p/>
        </w:tc>
        <w:tc>
          <w:tcPr>
            <w:tcW w:type="dxa" w:w="1392"/>
            <w:vMerge/>
            <w:shd w:val="clear" w:color="auto" w:fill="E6E9F0"/>
          </w:tcPr>
          <w:p/>
        </w:tc>
        <w:tc>
          <w:tcPr>
            <w:tcW w:type="dxa" w:w="1392"/>
            <w:vMerge/>
            <w:shd w:val="clear" w:color="auto" w:fill="E6E9F0"/>
          </w:tcPr>
          <w:p/>
        </w:tc>
        <w:tc>
          <w:tcPr>
            <w:tcW w:type="dxa" w:w="1392"/>
            <w:shd w:val="clear" w:color="auto" w:fill="E6E9F0"/>
          </w:tcPr>
          <w:p>
            <w:r/>
            <w:r>
              <w:rPr>
                <w:b/>
              </w:rPr>
              <w:t>dernier</w:t>
            </w:r>
          </w:p>
        </w:tc>
        <w:tc>
          <w:tcPr>
            <w:tcW w:type="dxa" w:w="1392"/>
            <w:shd w:val="clear" w:color="auto" w:fill="E6E9F0"/>
          </w:tcPr>
          <w:p>
            <w:r/>
            <w:r>
              <w:rPr>
                <w:b/>
              </w:rPr>
              <w:t>prochain</w:t>
            </w:r>
          </w:p>
        </w:tc>
      </w:tr>
      <w:tr>
        <w:tc>
          <w:tcPr>
            <w:tcW w:type="dxa" w:w="1392"/>
          </w:tcPr>
          <w:p>
            <w:r>
              <w:t>BR-1</w:t>
            </w:r>
          </w:p>
        </w:tc>
        <w:tc>
          <w:tcPr>
            <w:tcW w:type="dxa" w:w="1392"/>
          </w:tcPr>
          <w:p>
            <w:r>
              <w:t>Banc de rebond (caméra rapide)</w:t>
            </w:r>
          </w:p>
        </w:tc>
        <w:tc>
          <w:tcPr>
            <w:tcW w:type="dxa" w:w="1392"/>
          </w:tcPr>
          <w:p>
            <w:r>
              <w:t>Hauteur de rebond</w:t>
            </w:r>
          </w:p>
        </w:tc>
        <w:tc>
          <w:tcPr>
            <w:tcW w:type="dxa" w:w="1392"/>
          </w:tcPr>
          <w:p>
            <w:r>
              <w:t>± 0,5 cm</w:t>
            </w:r>
          </w:p>
        </w:tc>
        <w:tc>
          <w:tcPr>
            <w:tcW w:type="dxa" w:w="1392"/>
          </w:tcPr>
          <w:p>
            <w:r>
              <w:t>12 mois</w:t>
            </w:r>
          </w:p>
        </w:tc>
        <w:tc>
          <w:tcPr>
            <w:tcW w:type="dxa" w:w="1392"/>
          </w:tcPr>
          <w:p>
            <w:r>
              <w:t>14 janvier 2026</w:t>
            </w:r>
          </w:p>
        </w:tc>
        <w:tc>
          <w:tcPr>
            <w:tcW w:type="dxa" w:w="1392"/>
          </w:tcPr>
          <w:p>
            <w:r>
              <w:t>14 janvier 2027</w:t>
            </w:r>
          </w:p>
        </w:tc>
      </w:tr>
      <w:tr>
        <w:tc>
          <w:tcPr>
            <w:tcW w:type="dxa" w:w="1392"/>
          </w:tcPr>
          <w:p>
            <w:r>
              <w:t>MT-1</w:t>
            </w:r>
          </w:p>
        </w:tc>
        <w:tc>
          <w:tcPr>
            <w:tcW w:type="dxa" w:w="1392"/>
          </w:tcPr>
          <w:p>
            <w:r>
              <w:t>Machine à tirer</w:t>
            </w:r>
          </w:p>
        </w:tc>
        <w:tc>
          <w:tcPr>
            <w:tcW w:type="dxa" w:w="1392"/>
          </w:tcPr>
          <w:p>
            <w:r>
              <w:t>Vitesse de tir</w:t>
            </w:r>
          </w:p>
        </w:tc>
        <w:tc>
          <w:tcPr>
            <w:tcW w:type="dxa" w:w="1392"/>
          </w:tcPr>
          <w:p>
            <w:r>
              <w:t>± 1 km/h</w:t>
            </w:r>
          </w:p>
        </w:tc>
        <w:tc>
          <w:tcPr>
            <w:tcW w:type="dxa" w:w="1392"/>
          </w:tcPr>
          <w:p>
            <w:r>
              <w:t>12 mois</w:t>
            </w:r>
          </w:p>
        </w:tc>
        <w:tc>
          <w:tcPr>
            <w:tcW w:type="dxa" w:w="1392"/>
          </w:tcPr>
          <w:p>
            <w:r>
              <w:t>3 mars 2026</w:t>
            </w:r>
          </w:p>
        </w:tc>
        <w:tc>
          <w:tcPr>
            <w:tcW w:type="dxa" w:w="1392"/>
          </w:tcPr>
          <w:p>
            <w:r>
              <w:t>3 mars 2027</w:t>
            </w:r>
          </w:p>
        </w:tc>
      </w:tr>
      <w:tr>
        <w:tc>
          <w:tcPr>
            <w:tcW w:type="dxa" w:w="1392"/>
          </w:tcPr>
          <w:p>
            <w:r>
              <w:t>BR-2</w:t>
            </w:r>
          </w:p>
        </w:tc>
        <w:tc>
          <w:tcPr>
            <w:tcW w:type="dxa" w:w="1392"/>
          </w:tcPr>
          <w:p>
            <w:r>
              <w:t>Bac de rotation</w:t>
            </w:r>
          </w:p>
        </w:tc>
        <w:tc>
          <w:tcPr>
            <w:tcW w:type="dxa" w:w="1392"/>
          </w:tcPr>
          <w:p>
            <w:r>
              <w:t>Température de l’eau</w:t>
            </w:r>
          </w:p>
        </w:tc>
        <w:tc>
          <w:tcPr>
            <w:tcW w:type="dxa" w:w="1392"/>
          </w:tcPr>
          <w:p>
            <w:r>
              <w:t>± 1 °C</w:t>
            </w:r>
          </w:p>
        </w:tc>
        <w:tc>
          <w:tcPr>
            <w:tcW w:type="dxa" w:w="1392"/>
          </w:tcPr>
          <w:p>
            <w:r>
              <w:t>12 mois</w:t>
            </w:r>
          </w:p>
        </w:tc>
        <w:tc>
          <w:tcPr>
            <w:tcW w:type="dxa" w:w="1392"/>
          </w:tcPr>
          <w:p>
            <w:r>
              <w:t>20 janvier 2026</w:t>
            </w:r>
          </w:p>
        </w:tc>
        <w:tc>
          <w:tcPr>
            <w:tcW w:type="dxa" w:w="1392"/>
          </w:tcPr>
          <w:p>
            <w:r>
              <w:t>20 janvier 2027</w:t>
            </w:r>
          </w:p>
        </w:tc>
      </w:tr>
      <w:tr>
        <w:tc>
          <w:tcPr>
            <w:tcW w:type="dxa" w:w="1392"/>
          </w:tcPr>
          <w:p>
            <w:r>
              <w:t>EC-2</w:t>
            </w:r>
          </w:p>
        </w:tc>
        <w:tc>
          <w:tcPr>
            <w:tcW w:type="dxa" w:w="1392"/>
          </w:tcPr>
          <w:p>
            <w:r>
              <w:t>Enceinte climatique</w:t>
            </w:r>
          </w:p>
        </w:tc>
        <w:tc>
          <w:tcPr>
            <w:tcW w:type="dxa" w:w="1392"/>
          </w:tcPr>
          <w:p>
            <w:r>
              <w:t>Température</w:t>
            </w:r>
          </w:p>
        </w:tc>
        <w:tc>
          <w:tcPr>
            <w:tcW w:type="dxa" w:w="1392"/>
          </w:tcPr>
          <w:p>
            <w:r>
              <w:t>± 0,5 °C</w:t>
            </w:r>
          </w:p>
        </w:tc>
        <w:tc>
          <w:tcPr>
            <w:tcW w:type="dxa" w:w="1392"/>
          </w:tcPr>
          <w:p>
            <w:r>
              <w:t>6 mois</w:t>
            </w:r>
          </w:p>
        </w:tc>
        <w:tc>
          <w:tcPr>
            <w:tcW w:type="dxa" w:w="1392"/>
          </w:tcPr>
          <w:p>
            <w:r>
              <w:t>2 septembre 2026</w:t>
            </w:r>
          </w:p>
        </w:tc>
        <w:tc>
          <w:tcPr>
            <w:tcW w:type="dxa" w:w="1392"/>
          </w:tcPr>
          <w:p>
            <w:r>
              <w:t>2 mars 2027</w:t>
            </w:r>
          </w:p>
        </w:tc>
      </w:tr>
      <w:tr>
        <w:tc>
          <w:tcPr>
            <w:tcW w:type="dxa" w:w="1392"/>
          </w:tcPr>
          <w:p>
            <w:r>
              <w:t>TU-1</w:t>
            </w:r>
          </w:p>
        </w:tc>
        <w:tc>
          <w:tcPr>
            <w:tcW w:type="dxa" w:w="1392"/>
          </w:tcPr>
          <w:p>
            <w:r>
              <w:t>Tambour d’usure</w:t>
            </w:r>
          </w:p>
        </w:tc>
        <w:tc>
          <w:tcPr>
            <w:tcW w:type="dxa" w:w="1392"/>
          </w:tcPr>
          <w:p>
            <w:r>
              <w:t>Vitesse de rotation</w:t>
            </w:r>
          </w:p>
        </w:tc>
        <w:tc>
          <w:tcPr>
            <w:tcW w:type="dxa" w:w="1392"/>
          </w:tcPr>
          <w:p>
            <w:r>
              <w:t>± 2 tr/min</w:t>
            </w:r>
          </w:p>
        </w:tc>
        <w:tc>
          <w:tcPr>
            <w:tcW w:type="dxa" w:w="1392"/>
          </w:tcPr>
          <w:p>
            <w:r>
              <w:t>12 mois</w:t>
            </w:r>
          </w:p>
        </w:tc>
        <w:tc>
          <w:tcPr>
            <w:tcW w:type="dxa" w:w="1392"/>
          </w:tcPr>
          <w:p>
            <w:r>
              <w:t>11 février 2026</w:t>
            </w:r>
          </w:p>
        </w:tc>
        <w:tc>
          <w:tcPr>
            <w:tcW w:type="dxa" w:w="1392"/>
          </w:tcPr>
          <w:p>
            <w:r>
              <w:t>11 février 2027</w:t>
            </w:r>
          </w:p>
        </w:tc>
      </w:tr>
      <w:tr>
        <w:tc>
          <w:tcPr>
            <w:tcW w:type="dxa" w:w="1392"/>
          </w:tcPr>
          <w:p>
            <w:r>
              <w:t>MAN-3</w:t>
            </w:r>
          </w:p>
        </w:tc>
        <w:tc>
          <w:tcPr>
            <w:tcW w:type="dxa" w:w="1392"/>
          </w:tcPr>
          <w:p>
            <w:r>
              <w:t>Manomètre numérique</w:t>
            </w:r>
          </w:p>
        </w:tc>
        <w:tc>
          <w:tcPr>
            <w:tcW w:type="dxa" w:w="1392"/>
          </w:tcPr>
          <w:p>
            <w:r>
              <w:t>Pression</w:t>
            </w:r>
          </w:p>
        </w:tc>
        <w:tc>
          <w:tcPr>
            <w:tcW w:type="dxa" w:w="1392"/>
          </w:tcPr>
          <w:p>
            <w:r>
              <w:t>± 0,01 bar</w:t>
            </w:r>
          </w:p>
        </w:tc>
        <w:tc>
          <w:tcPr>
            <w:tcW w:type="dxa" w:w="1392"/>
          </w:tcPr>
          <w:p>
            <w:r>
              <w:t>6 mois</w:t>
            </w:r>
          </w:p>
        </w:tc>
        <w:tc>
          <w:tcPr>
            <w:tcW w:type="dxa" w:w="1392"/>
          </w:tcPr>
          <w:p>
            <w:r>
              <w:t>9 septembre 2026</w:t>
            </w:r>
          </w:p>
        </w:tc>
        <w:tc>
          <w:tcPr>
            <w:tcW w:type="dxa" w:w="1392"/>
          </w:tcPr>
          <w:p>
            <w:r>
              <w:t>9 mars 2027</w:t>
            </w:r>
          </w:p>
        </w:tc>
      </w:tr>
      <w:tr>
        <w:tc>
          <w:tcPr>
            <w:tcW w:type="dxa" w:w="1392"/>
          </w:tcPr>
          <w:p>
            <w:r>
              <w:t>BAL-1</w:t>
            </w:r>
          </w:p>
        </w:tc>
        <w:tc>
          <w:tcPr>
            <w:tcW w:type="dxa" w:w="1392"/>
          </w:tcPr>
          <w:p>
            <w:r>
              <w:t>Balance</w:t>
            </w:r>
          </w:p>
        </w:tc>
        <w:tc>
          <w:tcPr>
            <w:tcW w:type="dxa" w:w="1392"/>
          </w:tcPr>
          <w:p>
            <w:r>
              <w:t>Masse</w:t>
            </w:r>
          </w:p>
        </w:tc>
        <w:tc>
          <w:tcPr>
            <w:tcW w:type="dxa" w:w="1392"/>
          </w:tcPr>
          <w:p>
            <w:r>
              <w:t>± 1 g</w:t>
            </w:r>
          </w:p>
        </w:tc>
        <w:tc>
          <w:tcPr>
            <w:tcW w:type="dxa" w:w="1392"/>
          </w:tcPr>
          <w:p>
            <w:r>
              <w:t>12 mois</w:t>
            </w:r>
          </w:p>
        </w:tc>
        <w:tc>
          <w:tcPr>
            <w:tcW w:type="dxa" w:w="1392"/>
          </w:tcPr>
          <w:p>
            <w:r>
              <w:t>14 janvier 2026</w:t>
            </w:r>
          </w:p>
        </w:tc>
        <w:tc>
          <w:tcPr>
            <w:tcW w:type="dxa" w:w="1392"/>
          </w:tcPr>
          <w:p>
            <w:r>
              <w:t>14 janvier 2027</w:t>
            </w:r>
          </w:p>
        </w:tc>
      </w:tr>
    </w:tbl>
    <w:p>
      <w:pPr>
        <w:pStyle w:val="Heading1"/>
      </w:pPr>
      <w:r>
        <w:rPr>
          <w:b w:val="0"/>
          <w:i w:val="0"/>
        </w:rPr>
        <w:t>4. Vérification avant chaque essai</w:t>
      </w:r>
    </w:p>
    <w:p>
      <w:pPr/>
      <w:r>
        <w:rPr>
          <w:b w:val="0"/>
          <w:i w:val="0"/>
        </w:rPr>
        <w:t>Avant chaque essai, le technicien vérifie l’instrument avec un étalon interne et note le résultat dans le journal d’essai. Les tolérances ci-dessous sont internes au laboratoire : elles ne remplacent jamais les critères de la spécification du client.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</w:rPr>
              <w:t>Instrument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</w:rPr>
              <w:t>Contrôle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</w:rPr>
              <w:t>Écart toléré</w:t>
            </w:r>
          </w:p>
        </w:tc>
      </w:tr>
      <w:tr>
        <w:tc>
          <w:tcPr>
            <w:tcW w:type="dxa" w:w="3249"/>
          </w:tcPr>
          <w:p>
            <w:r>
              <w:t>MAN-3</w:t>
            </w:r>
          </w:p>
        </w:tc>
        <w:tc>
          <w:tcPr>
            <w:tcW w:type="dxa" w:w="3249"/>
          </w:tcPr>
          <w:p>
            <w:r>
              <w:t>Comparaison avec le manomètre étalon, à 0,8 bar</w:t>
            </w:r>
          </w:p>
        </w:tc>
        <w:tc>
          <w:tcPr>
            <w:tcW w:type="dxa" w:w="3249"/>
          </w:tcPr>
          <w:p>
            <w:r>
              <w:t>≤ 0,02 bar</w:t>
            </w:r>
          </w:p>
        </w:tc>
      </w:tr>
      <w:tr>
        <w:tc>
          <w:tcPr>
            <w:tcW w:type="dxa" w:w="3249"/>
          </w:tcPr>
          <w:p>
            <w:r>
              <w:t>BAL-1</w:t>
            </w:r>
          </w:p>
        </w:tc>
        <w:tc>
          <w:tcPr>
            <w:tcW w:type="dxa" w:w="3249"/>
          </w:tcPr>
          <w:p>
            <w:r>
              <w:t>Pesée de la masse étalon de 500 g</w:t>
            </w:r>
          </w:p>
        </w:tc>
        <w:tc>
          <w:tcPr>
            <w:tcW w:type="dxa" w:w="3249"/>
          </w:tcPr>
          <w:p>
            <w:r>
              <w:t>≤ 2 g</w:t>
            </w:r>
          </w:p>
        </w:tc>
      </w:tr>
      <w:tr>
        <w:tc>
          <w:tcPr>
            <w:tcW w:type="dxa" w:w="3249"/>
          </w:tcPr>
          <w:p>
            <w:r>
              <w:t>EC-2</w:t>
            </w:r>
          </w:p>
        </w:tc>
        <w:tc>
          <w:tcPr>
            <w:tcW w:type="dxa" w:w="3249"/>
          </w:tcPr>
          <w:p>
            <w:r>
              <w:t>Thermomètre de référence, palier à −5 °C</w:t>
            </w:r>
          </w:p>
        </w:tc>
        <w:tc>
          <w:tcPr>
            <w:tcW w:type="dxa" w:w="3249"/>
          </w:tcPr>
          <w:p>
            <w:r>
              <w:t>≤ 1 °C</w:t>
            </w:r>
          </w:p>
        </w:tc>
      </w:tr>
      <w:tr>
        <w:tc>
          <w:tcPr>
            <w:tcW w:type="dxa" w:w="3249"/>
          </w:tcPr>
          <w:p>
            <w:r>
              <w:t>BR-1</w:t>
            </w:r>
          </w:p>
        </w:tc>
        <w:tc>
          <w:tcPr>
            <w:tcW w:type="dxa" w:w="3249"/>
          </w:tcPr>
          <w:p>
            <w:r>
              <w:t>Lâcher de la bille étalon de 1,0 m</w:t>
            </w:r>
          </w:p>
        </w:tc>
        <w:tc>
          <w:tcPr>
            <w:tcW w:type="dxa" w:w="3249"/>
          </w:tcPr>
          <w:p>
            <w:r>
              <w:t>≤ 1 cm</w:t>
            </w:r>
          </w:p>
        </w:tc>
      </w:tr>
    </w:tbl>
    <w:p>
      <w:pPr>
        <w:pStyle w:val="Heading1"/>
      </w:pPr>
      <w:r>
        <w:rPr>
          <w:b w:val="0"/>
          <w:i w:val="0"/>
        </w:rPr>
        <w:t>5. Instrument hors tolérance</w:t>
      </w:r>
    </w:p>
    <w:p>
      <w:pPr>
        <w:pStyle w:val="ListNumber"/>
      </w:pPr>
      <w:r>
        <w:rPr>
          <w:b w:val="0"/>
          <w:i w:val="0"/>
        </w:rPr>
        <w:t>Étiqueter l’instrument en rouge « HORS SERVICE » et ne plus s’en servir.</w:t>
      </w:r>
    </w:p>
    <w:p>
      <w:pPr>
        <w:pStyle w:val="ListNumber"/>
      </w:pPr>
      <w:r>
        <w:rPr>
          <w:b w:val="0"/>
          <w:i w:val="0"/>
        </w:rPr>
        <w:t>Ouvrir une non-conformité dans le registre des non-conformités.</w:t>
      </w:r>
    </w:p>
    <w:p>
      <w:pPr>
        <w:pStyle w:val="ListNumber"/>
      </w:pPr>
      <w:r>
        <w:rPr>
          <w:b w:val="0"/>
          <w:i w:val="0"/>
        </w:rPr>
        <w:t>Lister les essais faits depuis la dernière vérification bonne : l’ingénieure responsable décide s’il faut les refaire.</w:t>
      </w:r>
    </w:p>
    <w:p>
      <w:pPr>
        <w:pStyle w:val="Heading1"/>
      </w:pPr>
      <w:r>
        <w:rPr>
          <w:b w:val="0"/>
          <w:i w:val="0"/>
        </w:rPr>
        <w:t>6. Étiquette d’étalonnage</w:t>
      </w:r>
    </w:p>
    <w:p>
      <w:pPr/>
      <w:r>
        <w:rPr>
          <w:b w:val="0"/>
          <w:i w:val="0"/>
        </w:rPr>
        <w:t>Chaque instrument porte une étiquette verte à jour (figure 1).</w:t>
      </w:r>
    </w:p>
    <w:p>
      <w:r>
        <w:drawing>
          <wp:inline xmlns:a="http://schemas.openxmlformats.org/drawingml/2006/main" xmlns:pic="http://schemas.openxmlformats.org/drawingml/2006/picture">
            <wp:extent cx="3240000" cy="13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b w:val="0"/>
          <w:i/>
          <w:color w:val="6B7280"/>
          <w:sz w:val="20"/>
        </w:rPr>
        <w:t>Figure 1 : modèle d’étiquette d’étalonnage</w:t>
      </w:r>
    </w:p>
    <w:p>
      <w:pPr>
        <w:pStyle w:val="Heading1"/>
      </w:pPr>
      <w:r>
        <w:rPr>
          <w:b w:val="0"/>
          <w:i w:val="0"/>
        </w:rPr>
        <w:t>7. 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</w:rPr>
              <w:t>Rév.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</w:rPr>
              <w:t>Changement</w:t>
            </w:r>
          </w:p>
        </w:tc>
      </w:tr>
      <w:tr>
        <w:tc>
          <w:tcPr>
            <w:tcW w:type="dxa" w:w="3249"/>
          </w:tcPr>
          <w:p>
            <w:r>
              <w:t>A</w:t>
            </w:r>
          </w:p>
        </w:tc>
        <w:tc>
          <w:tcPr>
            <w:tcW w:type="dxa" w:w="3249"/>
          </w:tcPr>
          <w:p>
            <w:r>
              <w:t>janvier 2025</w:t>
            </w:r>
          </w:p>
        </w:tc>
        <w:tc>
          <w:tcPr>
            <w:tcW w:type="dxa" w:w="3249"/>
          </w:tcPr>
          <w:p>
            <w:r>
              <w:t>Création.</w:t>
            </w:r>
          </w:p>
        </w:tc>
      </w:tr>
      <w:tr>
        <w:tc>
          <w:tcPr>
            <w:tcW w:type="dxa" w:w="3249"/>
          </w:tcPr>
          <w:p>
            <w:r>
              <w:t>B</w:t>
            </w:r>
          </w:p>
        </w:tc>
        <w:tc>
          <w:tcPr>
            <w:tcW w:type="dxa" w:w="3249"/>
          </w:tcPr>
          <w:p>
            <w:r>
              <w:t>juin 2025</w:t>
            </w:r>
          </w:p>
        </w:tc>
        <w:tc>
          <w:tcPr>
            <w:tcW w:type="dxa" w:w="3249"/>
          </w:tcPr>
          <w:p>
            <w:r>
              <w:t>Ajout du manomètre MAN-3 (remplace MAN-2).</w:t>
            </w:r>
          </w:p>
        </w:tc>
      </w:tr>
      <w:tr>
        <w:tc>
          <w:tcPr>
            <w:tcW w:type="dxa" w:w="3249"/>
          </w:tcPr>
          <w:p>
            <w:r>
              <w:t>C</w:t>
            </w:r>
          </w:p>
        </w:tc>
        <w:tc>
          <w:tcPr>
            <w:tcW w:type="dxa" w:w="3249"/>
          </w:tcPr>
          <w:p>
            <w:r>
              <w:t>septembre 2026</w:t>
            </w:r>
          </w:p>
        </w:tc>
        <w:tc>
          <w:tcPr>
            <w:tcW w:type="dxa" w:w="3249"/>
          </w:tcPr>
          <w:p>
            <w:r>
              <w:t>Enceinte EC-2 étalonnée tous les 6 mois au lieu de 12 (suite à LA-12).</w:t>
            </w:r>
          </w:p>
        </w:tc>
      </w:tr>
    </w:tbl>
    <w:p>
      <w:pPr/>
      <w:r>
        <w:rPr>
          <w:b w:val="0"/>
          <w:i/>
          <w:color w:val="6B7280"/>
          <w:sz w:val="20"/>
        </w:rPr>
        <w:t>Document fictif de 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PR-LAB-04 rév.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