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Outline of study: retirement-study-1.herokuapp.com/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Consent Form: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User scrolls and must click Consent to proceed (can print to pdf).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Pre-questionnaire: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Five questions that measure risk aversion (e.g., Samuelson’s bet, classic Prospect Theory, and Measure CRRA)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are required.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Round 1 Instructions: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Includes comprehension check (user must complete correctly to move on)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Example/practice 1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Learning/control check: user must use mouse to hover over the largest bar which will have a tooltip pop-up. To move forward, the user must put in 23.6% into the box.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Data is randomly sampled from uniform distribution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Example/practice 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Uniform sampled as well.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Also includes attention/captcha check to remove bots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148138" cy="1681857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681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Round 1 Task: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Users will provide allocation for 7 tasks comparing simulated returns between two hypothetical funds. Each task is different by the “evaluation period” (framing) of the returns. First two options are randomized between 1 and 30 year evaluation period (Benartzi &amp; Thaler replication). Then trials 3-7 are randomly selected between 5, 10, 15, 20, and 25 year evaluation periods. To control for order, the order of the funds are randomized (left/right).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4068823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06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76913" cy="406189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06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Similar is shown for next 5 (5, 10, 15, 20, 25 evaluation periods)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Round 2 Instructions: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Instructions will be provided similar to Round 1, but unique to the treatment (visualization) they are assigned. Similar to Round 1, each user will answer 7 allocation questions. Different than Round 1 is that they’ll be assigned a different visualization (between subjects treatment).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For each treatment, Round 2 instructions will include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Page 1: Instructions for round 2 (text only)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Page 2: Image of visualization + text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Page 3: Comprehension question - multiple choice to understand what each point is (e.g., 1 out of 33 sampled draw or interval/point/density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Treatment 1: Table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15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Treatment 2: Dotplot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690406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690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Treatment 3: Density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05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Treatment 4: Point + Interval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38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Treatment 5: Interval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913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Treatment 6: HOP (simple)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07100"/>
            <wp:effectExtent b="0" l="0" r="0" t="0"/>
            <wp:docPr id="8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Treatment 7: HOP (distribution)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07100"/>
            <wp:effectExtent b="0" l="0" r="0" t="0"/>
            <wp:docPr id="18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Treatment 8: Bar chart - identical to Round 1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Reason we use this is to get a clean between subjects performance in Round 2 of how the bar chart performance is relative to the other 7 graphs.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4068823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06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.0005454545455" w:lineRule="auto"/>
        <w:rPr/>
      </w:pPr>
      <w:r w:rsidDel="00000000" w:rsidR="00000000" w:rsidRPr="00000000">
        <w:rPr>
          <w:rtl w:val="0"/>
        </w:rPr>
        <w:t xml:space="preserve">Post-questionnaire:</w:t>
      </w:r>
    </w:p>
    <w:p w:rsidR="00000000" w:rsidDel="00000000" w:rsidP="00000000" w:rsidRDefault="00000000" w:rsidRPr="00000000" w14:paraId="0000006B">
      <w:pPr>
        <w:spacing w:line="276.000545454545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.0005454545455" w:lineRule="auto"/>
        <w:rPr/>
      </w:pPr>
      <w:r w:rsidDel="00000000" w:rsidR="00000000" w:rsidRPr="00000000">
        <w:rPr/>
        <w:drawing>
          <wp:inline distB="114300" distT="114300" distL="114300" distR="114300">
            <wp:extent cx="5481638" cy="146411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46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.000545454545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line="276.0005454545455" w:lineRule="auto"/>
        <w:rPr/>
      </w:pPr>
      <w:r w:rsidDel="00000000" w:rsidR="00000000" w:rsidRPr="00000000">
        <w:rPr>
          <w:rtl w:val="0"/>
        </w:rPr>
        <w:t xml:space="preserve">This first question is to remove out participants that exclude from the analysis participants that do not provide a legitimate response. In such cases, participants will still receive the same payment and incentives but results will not be used. This will be recorded in pre-registration.</w:t>
      </w:r>
    </w:p>
    <w:p w:rsidR="00000000" w:rsidDel="00000000" w:rsidP="00000000" w:rsidRDefault="00000000" w:rsidRPr="00000000" w14:paraId="0000006F">
      <w:pPr>
        <w:spacing w:line="276.000545454545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Debrief: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1.png"/><Relationship Id="rId21" Type="http://schemas.openxmlformats.org/officeDocument/2006/relationships/image" Target="media/image14.png"/><Relationship Id="rId24" Type="http://schemas.openxmlformats.org/officeDocument/2006/relationships/image" Target="media/image2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0.gif"/><Relationship Id="rId25" Type="http://schemas.openxmlformats.org/officeDocument/2006/relationships/image" Target="media/image5.gif"/><Relationship Id="rId28" Type="http://schemas.openxmlformats.org/officeDocument/2006/relationships/image" Target="media/image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3.png"/><Relationship Id="rId7" Type="http://schemas.openxmlformats.org/officeDocument/2006/relationships/image" Target="media/image6.png"/><Relationship Id="rId8" Type="http://schemas.openxmlformats.org/officeDocument/2006/relationships/image" Target="media/image13.png"/><Relationship Id="rId11" Type="http://schemas.openxmlformats.org/officeDocument/2006/relationships/image" Target="media/image22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17.png"/><Relationship Id="rId17" Type="http://schemas.openxmlformats.org/officeDocument/2006/relationships/image" Target="media/image9.png"/><Relationship Id="rId16" Type="http://schemas.openxmlformats.org/officeDocument/2006/relationships/image" Target="media/image18.png"/><Relationship Id="rId19" Type="http://schemas.openxmlformats.org/officeDocument/2006/relationships/image" Target="media/image19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