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rPr>
          <w:rFonts w:hint="eastAsia" w:ascii="Times New Roman" w:hAnsi="Times New Roman" w:eastAsia="楷体" w:cs="Times New Roman"/>
          <w:b/>
          <w:sz w:val="24"/>
          <w:szCs w:val="24"/>
          <w:highlight w:val="yellow"/>
        </w:rPr>
      </w:pP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</w:rPr>
        <w:t>报告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>十八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</w:rPr>
        <w:t>：</w:t>
      </w:r>
      <w:r>
        <w:rPr>
          <w:rFonts w:ascii="Times New Roman" w:hAnsi="Times New Roman" w:eastAsia="楷体" w:cs="Times New Roman"/>
          <w:b/>
          <w:sz w:val="24"/>
          <w:szCs w:val="24"/>
          <w:highlight w:val="yellow"/>
        </w:rPr>
        <w:t>202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>1</w:t>
      </w:r>
      <w:r>
        <w:rPr>
          <w:rFonts w:ascii="Times New Roman" w:hAnsi="Times New Roman" w:eastAsia="楷体" w:cs="Times New Roman"/>
          <w:b/>
          <w:sz w:val="24"/>
          <w:szCs w:val="24"/>
          <w:highlight w:val="yellow"/>
        </w:rPr>
        <w:t>.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>4</w:t>
      </w:r>
      <w:r>
        <w:rPr>
          <w:rFonts w:ascii="Times New Roman" w:hAnsi="Times New Roman" w:eastAsia="楷体" w:cs="Times New Roman"/>
          <w:b/>
          <w:sz w:val="24"/>
          <w:szCs w:val="24"/>
          <w:highlight w:val="yellow"/>
        </w:rPr>
        <w:t>.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>30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</w:rPr>
        <w:t>：KVaC: Key-Value Commitments for Blockchains and Beyond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 xml:space="preserve"> (</w:t>
      </w:r>
      <w:r>
        <w:rPr>
          <w:rFonts w:hint="default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>ASIACRYPT 2020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  <w:lang w:val="en-US" w:eastAsia="zh-CN"/>
        </w:rPr>
        <w:t xml:space="preserve"> ) </w:t>
      </w:r>
      <w:r>
        <w:rPr>
          <w:rFonts w:ascii="Times New Roman" w:hAnsi="Times New Roman" w:eastAsia="楷体" w:cs="Times New Roman"/>
          <w:b/>
          <w:sz w:val="24"/>
          <w:szCs w:val="24"/>
          <w:highlight w:val="yellow"/>
        </w:rPr>
        <w:t>报告人：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</w:rPr>
        <w:t xml:space="preserve">李佳薇  </w:t>
      </w:r>
      <w:r>
        <w:rPr>
          <w:rFonts w:ascii="Times New Roman" w:hAnsi="Times New Roman" w:eastAsia="楷体" w:cs="Times New Roman"/>
          <w:b/>
          <w:sz w:val="24"/>
          <w:szCs w:val="24"/>
          <w:highlight w:val="yellow"/>
        </w:rPr>
        <w:t>记录者：</w:t>
      </w:r>
      <w:r>
        <w:rPr>
          <w:rFonts w:hint="eastAsia" w:ascii="Times New Roman" w:hAnsi="Times New Roman" w:eastAsia="楷体" w:cs="Times New Roman"/>
          <w:b/>
          <w:sz w:val="24"/>
          <w:szCs w:val="24"/>
          <w:highlight w:val="yellow"/>
        </w:rPr>
        <w:t>李佳薇</w:t>
      </w:r>
    </w:p>
    <w:p>
      <w:pPr>
        <w:numPr>
          <w:ilvl w:val="0"/>
          <w:numId w:val="1"/>
        </w:numPr>
        <w:spacing w:line="288" w:lineRule="auto"/>
        <w:ind w:firstLine="482" w:firstLineChars="200"/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  <w:t>报告内容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  <w:t xml:space="preserve">    背景</w:t>
      </w:r>
    </w:p>
    <w:p>
      <w:pPr>
        <w:numPr>
          <w:ilvl w:val="0"/>
          <w:numId w:val="0"/>
        </w:numPr>
        <w:spacing w:line="288" w:lineRule="auto"/>
        <w:ind w:firstLine="480" w:firstLineChars="200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提出背景：随着区块链规模的增长，验证新交易变得越来越困难和费时。为</w:t>
      </w:r>
      <w:bookmarkStart w:id="0" w:name="_GoBack"/>
      <w:bookmarkEnd w:id="0"/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了解决这个问题，需要压缩区块链（有效）状态——一种允许有效证明成员身份和更新的方式。</w:t>
      </w:r>
      <w:r>
        <w:rPr>
          <w:rFonts w:hint="eastAsia" w:ascii="Times New Roman" w:hAnsi="Times New Roman" w:eastAsia="楷体" w:cs="Times New Roman"/>
          <w:b w:val="0"/>
          <w:bCs w:val="0"/>
          <w:color w:val="0000FF"/>
          <w:sz w:val="24"/>
          <w:szCs w:val="24"/>
          <w:lang w:val="en-US" w:eastAsia="zh-CN"/>
        </w:rPr>
        <w:t>在区块链中，系统的状态有两种模型：基于比特币的UTXO集和基于以太坊的余额模型。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firstLine="480" w:firstLineChars="200"/>
        <w:jc w:val="left"/>
        <w:rPr>
          <w:rFonts w:hint="default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解决办法：</w:t>
      </w:r>
      <w:r>
        <w:rPr>
          <w:rFonts w:hint="default" w:ascii="Calibri" w:hAnsi="Calibri" w:eastAsia="楷体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default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  <w:t>UTXO set ----</w:t>
      </w:r>
      <w:r>
        <w:rPr>
          <w:rFonts w:hint="default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  <w:t>Accumulators</w:t>
      </w:r>
      <w:r>
        <w:rPr>
          <w:rFonts w:hint="eastAsia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  <w:t>Vector Commitments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          </w:t>
      </w:r>
      <w:r>
        <w:rPr>
          <w:rFonts w:hint="default" w:ascii="Calibri" w:hAnsi="Calibri" w:eastAsia="楷体" w:cs="Calibri"/>
          <w:b w:val="0"/>
          <w:bCs w:val="0"/>
          <w:kern w:val="2"/>
          <w:sz w:val="24"/>
          <w:szCs w:val="24"/>
          <w:lang w:val="en-US" w:eastAsia="zh-CN" w:bidi="ar-SA"/>
        </w:rPr>
        <w:t>②</w:t>
      </w:r>
      <w:r>
        <w:rPr>
          <w:rFonts w:hint="default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  <w:t>Account ledger ----KVC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 w:firstLine="480"/>
        <w:jc w:val="left"/>
        <w:rPr>
          <w:rFonts w:hint="eastAsia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  <w:t>以太坊中交易模型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 w:firstLine="480"/>
        <w:jc w:val="left"/>
        <w:rPr>
          <w:rFonts w:hint="default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916170" cy="231457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5785" t="17478" r="4881" b="6292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楷体" w:cs="Times New Roman"/>
          <w:b/>
          <w:bCs/>
          <w:kern w:val="2"/>
          <w:sz w:val="24"/>
          <w:szCs w:val="24"/>
          <w:lang w:val="en-US" w:eastAsia="zh-CN" w:bidi="ar-SA"/>
        </w:rPr>
        <w:t>KVC构造</w:t>
      </w:r>
    </w:p>
    <w:p>
      <w:pPr>
        <w:numPr>
          <w:ilvl w:val="0"/>
          <w:numId w:val="0"/>
        </w:numPr>
        <w:spacing w:line="288" w:lineRule="auto"/>
        <w:ind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问题：在加密货币网络中，每个节点都需要验证和存储系统的状态。随着用户数量的增加和新帐户的创建，键值映射的大小就会增大，运行节点的资源成本也会增加。这促使大部分用户依赖第三方来通知他们系统的状态，严重限制了网络中的分散化量[PT，Dry19，CPZ18]。</w:t>
      </w:r>
    </w:p>
    <w:p>
      <w:pPr>
        <w:numPr>
          <w:ilvl w:val="0"/>
          <w:numId w:val="0"/>
        </w:numPr>
        <w:spacing w:line="288" w:lineRule="auto"/>
        <w:ind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解决：对于基于帐户的加密货币，状态可以用键值映射表示，其中密钥是帐户地址，值由帐户余额、随机数等组成。其大小不随着键数量的增长，但成员资格的证明是恒定的。</w:t>
      </w:r>
    </w:p>
    <w:p>
      <w:pPr>
        <w:numPr>
          <w:ilvl w:val="0"/>
          <w:numId w:val="0"/>
        </w:numPr>
        <w:spacing w:line="288" w:lineRule="auto"/>
        <w:ind w:firstLine="42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40630" cy="201993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3796" t="17360" r="542" b="1446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88" w:lineRule="auto"/>
        <w:ind w:firstLine="482" w:firstLineChars="200"/>
        <w:rPr>
          <w:rFonts w:hint="default" w:ascii="Times New Roman" w:hAnsi="Times New Roman" w:eastAsia="楷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楷体" w:cs="Times New Roman"/>
          <w:b/>
          <w:bCs/>
          <w:kern w:val="2"/>
          <w:sz w:val="24"/>
          <w:szCs w:val="24"/>
          <w:lang w:val="en-US" w:eastAsia="zh-CN" w:bidi="ar-SA"/>
        </w:rPr>
        <w:t>比较</w:t>
      </w:r>
      <w:r>
        <w:rPr>
          <w:rFonts w:hint="default" w:ascii="Times New Roman" w:hAnsi="Times New Roman" w:eastAsia="楷体" w:cs="Times New Roman"/>
          <w:b/>
          <w:bCs/>
          <w:kern w:val="2"/>
          <w:sz w:val="24"/>
          <w:szCs w:val="24"/>
          <w:lang w:val="en-US" w:eastAsia="zh-CN" w:bidi="ar-SA"/>
        </w:rPr>
        <w:t>Accumulators</w:t>
      </w:r>
      <w:r>
        <w:rPr>
          <w:rFonts w:hint="eastAsia" w:ascii="Times New Roman" w:hAnsi="Times New Roman" w:eastAsia="楷体" w:cs="Times New Roman"/>
          <w:b/>
          <w:bCs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楷体" w:cs="Times New Roman"/>
          <w:b/>
          <w:bCs/>
          <w:kern w:val="2"/>
          <w:sz w:val="24"/>
          <w:szCs w:val="24"/>
          <w:lang w:val="en-US" w:eastAsia="zh-CN" w:bidi="ar-SA"/>
        </w:rPr>
        <w:t>Vector Commitments</w:t>
      </w:r>
      <w:r>
        <w:rPr>
          <w:rFonts w:hint="eastAsia" w:ascii="Times New Roman" w:hAnsi="Times New Roman" w:eastAsia="楷体" w:cs="Times New Roman"/>
          <w:b/>
          <w:bCs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楷体" w:cs="Times New Roman"/>
          <w:b/>
          <w:bCs/>
          <w:kern w:val="2"/>
          <w:sz w:val="24"/>
          <w:szCs w:val="24"/>
          <w:lang w:val="en-US" w:eastAsia="zh-CN" w:bidi="ar-SA"/>
        </w:rPr>
        <w:t>KVC</w:t>
      </w:r>
    </w:p>
    <w:p>
      <w:pPr>
        <w:numPr>
          <w:ilvl w:val="0"/>
          <w:numId w:val="0"/>
        </w:numPr>
        <w:spacing w:line="288" w:lineRule="auto"/>
        <w:ind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VC和</w:t>
      </w:r>
      <w:r>
        <w:rPr>
          <w:rFonts w:hint="default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  <w:t>Accumulators</w:t>
      </w: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可相互构造。KVC也可以构建这两者。</w:t>
      </w:r>
    </w:p>
    <w:p>
      <w:pPr>
        <w:numPr>
          <w:ilvl w:val="0"/>
          <w:numId w:val="0"/>
        </w:numPr>
        <w:spacing w:line="288" w:lineRule="auto"/>
        <w:ind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利用KVC构造VC方案，其中公共参数和证明都由恒定数量的群元素组成，公共参数不限制可以提交的元素的数量，所有的VC算法都需要恒定数量的群操作。此外，证明可以被分解，以产生恒定大小的子向量开口。</w:t>
      </w:r>
    </w:p>
    <w:p>
      <w:pPr>
        <w:numPr>
          <w:ilvl w:val="0"/>
          <w:numId w:val="0"/>
        </w:numPr>
        <w:spacing w:line="288" w:lineRule="auto"/>
        <w:ind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利用insert-only KVC构造动态累加器，（所有累加器算法都需要一定的群操作。）支持添加和删除成员资格证明。</w:t>
      </w:r>
    </w:p>
    <w:p>
      <w:pPr>
        <w:numPr>
          <w:ilvl w:val="0"/>
          <w:numId w:val="0"/>
        </w:numPr>
        <w:spacing w:line="288" w:lineRule="auto"/>
        <w:ind w:firstLine="482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  <w:t>VC</w:t>
      </w: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：具有与向量大小线性尺度的公共参数[CPZ18]。虽然参数简化为常数，但VC算法的成本在向量的大小上呈线性关系。</w:t>
      </w:r>
    </w:p>
    <w:p>
      <w:pPr>
        <w:numPr>
          <w:ilvl w:val="0"/>
          <w:numId w:val="0"/>
        </w:numPr>
        <w:spacing w:line="288" w:lineRule="auto"/>
        <w:ind w:firstLine="482" w:firstLineChars="200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kern w:val="2"/>
          <w:sz w:val="24"/>
          <w:szCs w:val="24"/>
          <w:lang w:val="en-US" w:eastAsia="zh-CN" w:bidi="ar-SA"/>
        </w:rPr>
        <w:t>Accumulators</w:t>
      </w: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支持成员和非成员证明。矢量的长度</w:t>
      </w: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没有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限制，但矢量元素是逐步积累的。因此，插入新元素、生成成员资格证明等所需的</w:t>
      </w: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群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操作的数量在向量元素的位大小上是线性的。</w:t>
      </w:r>
    </w:p>
    <w:p>
      <w:pPr>
        <w:numPr>
          <w:ilvl w:val="0"/>
          <w:numId w:val="0"/>
        </w:numPr>
        <w:spacing w:line="288" w:lineRule="auto"/>
        <w:ind w:firstLine="482" w:firstLineChars="200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4"/>
          <w:szCs w:val="24"/>
          <w:lang w:val="en-US" w:eastAsia="zh-CN"/>
        </w:rPr>
        <w:t>Sub VC</w:t>
      </w: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允许人们在一组位置上打开一个提交的向量，其中打开的大小与提交的向量的长度和要打开的位置的数量无关</w:t>
      </w: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公共参数线性增长。</w:t>
      </w:r>
    </w:p>
    <w:p>
      <w:pPr>
        <w:numPr>
          <w:ilvl w:val="0"/>
          <w:numId w:val="0"/>
        </w:numPr>
        <w:spacing w:line="288" w:lineRule="auto"/>
        <w:ind w:firstLine="482" w:firstLineChars="200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KVC</w:t>
      </w: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其中公共参数是恒定的，可以提交的元素数量没有限制，证明只由三个</w:t>
      </w: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群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元素组成。</w:t>
      </w:r>
    </w:p>
    <w:tbl>
      <w:tblPr>
        <w:tblStyle w:val="4"/>
        <w:tblpPr w:leftFromText="180" w:rightFromText="180" w:vertAnchor="text" w:horzAnchor="page" w:tblpX="2730" w:tblpY="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公共参数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元素数量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VC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线性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Accumulators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线性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Sub VC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线性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lang w:val="en-US" w:eastAsia="zh-CN"/>
              </w:rPr>
              <w:t>KVC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恒定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spacing w:line="288" w:lineRule="auto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三个群元素</w:t>
            </w:r>
          </w:p>
        </w:tc>
      </w:tr>
    </w:tbl>
    <w:p>
      <w:pPr>
        <w:numPr>
          <w:ilvl w:val="0"/>
          <w:numId w:val="0"/>
        </w:numPr>
        <w:spacing w:line="288" w:lineRule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88" w:lineRule="auto"/>
        <w:ind w:left="0" w:leftChars="0" w:firstLine="482" w:firstLineChars="200"/>
        <w:rPr>
          <w:rFonts w:hint="eastAsia" w:ascii="Times New Roman" w:hAnsi="Times New Roman" w:eastAsia="楷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楷体" w:cs="Times New Roman"/>
          <w:b/>
          <w:bCs/>
          <w:sz w:val="24"/>
          <w:szCs w:val="24"/>
        </w:rPr>
        <w:t>总结</w:t>
      </w:r>
    </w:p>
    <w:p>
      <w:pPr>
        <w:numPr>
          <w:ilvl w:val="0"/>
          <w:numId w:val="0"/>
        </w:numPr>
        <w:spacing w:line="288" w:lineRule="auto"/>
        <w:ind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针对KVC构造，考虑以下问题：</w:t>
      </w:r>
    </w:p>
    <w:p>
      <w:pPr>
        <w:numPr>
          <w:ilvl w:val="0"/>
          <w:numId w:val="2"/>
        </w:numPr>
        <w:spacing w:line="288" w:lineRule="auto"/>
        <w:ind w:firstLine="480" w:firstLineChars="200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利用VDS构造KVC</w:t>
      </w:r>
    </w:p>
    <w:p>
      <w:pPr>
        <w:numPr>
          <w:ilvl w:val="0"/>
          <w:numId w:val="2"/>
        </w:numPr>
        <w:spacing w:line="288" w:lineRule="auto"/>
        <w:ind w:firstLine="480" w:firstLineChars="200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利用</w:t>
      </w:r>
      <w:r>
        <w:rPr>
          <w:rFonts w:hint="default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  <w:t>Accumulators</w:t>
      </w:r>
      <w:r>
        <w:rPr>
          <w:rFonts w:hint="eastAsia" w:ascii="Times New Roman" w:hAnsi="Times New Roman" w:eastAsia="楷体" w:cs="Times New Roman"/>
          <w:b w:val="0"/>
          <w:bCs w:val="0"/>
          <w:kern w:val="2"/>
          <w:sz w:val="24"/>
          <w:szCs w:val="24"/>
          <w:lang w:val="en-US" w:eastAsia="zh-CN" w:bidi="ar-SA"/>
        </w:rPr>
        <w:t>构造以太坊的无状态模型</w:t>
      </w:r>
    </w:p>
    <w:p>
      <w:pPr>
        <w:numPr>
          <w:ilvl w:val="0"/>
          <w:numId w:val="2"/>
        </w:numPr>
        <w:spacing w:line="288" w:lineRule="auto"/>
        <w:ind w:firstLine="480" w:firstLineChars="200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利用变色龙hash构造insert-only key-value commitment</w:t>
      </w:r>
    </w:p>
    <w:p>
      <w:pPr>
        <w:numPr>
          <w:ilvl w:val="0"/>
          <w:numId w:val="0"/>
        </w:numPr>
        <w:spacing w:line="288" w:lineRule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MR17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eX">
    <w:panose1 w:val="02000600020000020004"/>
    <w:charset w:val="00"/>
    <w:family w:val="auto"/>
    <w:pitch w:val="default"/>
    <w:sig w:usb0="000000A3" w:usb1="0000004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C7C17"/>
    <w:multiLevelType w:val="singleLevel"/>
    <w:tmpl w:val="816C7C1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0ABE60A"/>
    <w:multiLevelType w:val="singleLevel"/>
    <w:tmpl w:val="D0ABE60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11924"/>
    <w:rsid w:val="08E11924"/>
    <w:rsid w:val="1C5B5FF3"/>
    <w:rsid w:val="248F69FD"/>
    <w:rsid w:val="4F872FC9"/>
    <w:rsid w:val="7739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2021-05-02T01:05:00Z</dcterms:created>
  <dc:creator>阳光多灿烂</dc:creator>
  <cp:lastModifiedBy>阳光多灿烂</cp:lastModifiedBy>
  <dcterms:modified xsi:type="dcterms:W3CDTF">2021-05-02T02:29:07Z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