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209C" w:rsidRDefault="00F925F7">
      <w:pPr>
        <w:jc w:val="center"/>
        <w:rPr>
          <w:rFonts w:ascii="Times New Roman" w:hAnsi="Times New Roman" w:cs="Times New Roman"/>
          <w:b/>
          <w:bCs/>
          <w:color w:val="2D53A0" w:themeColor="accent1" w:themeShade="BF"/>
          <w:sz w:val="24"/>
        </w:rPr>
      </w:pPr>
      <w:r>
        <w:rPr>
          <w:rFonts w:ascii="Times New Roman" w:hAnsi="Times New Roman" w:cs="Times New Roman"/>
          <w:b/>
          <w:bCs/>
          <w:color w:val="2D53A0" w:themeColor="accent1" w:themeShade="BF"/>
          <w:sz w:val="24"/>
        </w:rPr>
        <w:t>Interviewing Successfully</w:t>
      </w:r>
    </w:p>
    <w:p w:rsidR="00E9774E" w:rsidRDefault="00E9774E">
      <w:pPr>
        <w:rPr>
          <w:rFonts w:ascii="Times New Roman" w:hAnsi="Times New Roman" w:cs="Times New Roman"/>
          <w:i/>
          <w:iCs/>
          <w:sz w:val="20"/>
          <w:szCs w:val="20"/>
        </w:rPr>
      </w:pPr>
    </w:p>
    <w:p w:rsidR="00FB209C" w:rsidRDefault="00F925F7">
      <w:pPr>
        <w:rPr>
          <w:rFonts w:ascii="Times New Roman" w:eastAsia="宋体" w:hAnsi="Times New Roman" w:cs="Times New Roman"/>
          <w:szCs w:val="21"/>
        </w:rPr>
      </w:pPr>
      <w:bookmarkStart w:id="0" w:name="_GoBack"/>
      <w:bookmarkEnd w:id="0"/>
      <w:r>
        <w:rPr>
          <w:rFonts w:ascii="Times New Roman" w:eastAsia="宋体" w:hAnsi="Times New Roman" w:cs="Times New Roman"/>
          <w:szCs w:val="21"/>
        </w:rPr>
        <w:t>Keys:</w:t>
      </w:r>
    </w:p>
    <w:p w:rsidR="00FB209C" w:rsidRDefault="00F925F7">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b/>
          <w:bCs/>
          <w:szCs w:val="21"/>
        </w:rPr>
        <w:t xml:space="preserve">Part I </w:t>
      </w:r>
    </w:p>
    <w:p w:rsidR="00FB209C" w:rsidRDefault="00F925F7">
      <w:pPr>
        <w:widowControl/>
        <w:spacing w:line="180" w:lineRule="atLeast"/>
        <w:jc w:val="left"/>
        <w:rPr>
          <w:rFonts w:ascii="Times New Roman" w:hAnsi="Times New Roman" w:cs="Times New Roman"/>
          <w:color w:val="000000"/>
          <w:szCs w:val="21"/>
        </w:rPr>
      </w:pPr>
      <w:r>
        <w:rPr>
          <w:rFonts w:ascii="Times New Roman" w:eastAsia="宋体" w:hAnsi="Times New Roman" w:cs="Times New Roman" w:hint="eastAsia"/>
          <w:szCs w:val="21"/>
        </w:rPr>
        <w:t>1. c</w:t>
      </w:r>
      <w:r>
        <w:rPr>
          <w:rFonts w:ascii="Times New Roman" w:eastAsia="宋体" w:hAnsi="Times New Roman" w:cs="Times New Roman"/>
          <w:szCs w:val="21"/>
        </w:rPr>
        <w:t>ompetenc</w:t>
      </w:r>
      <w:r>
        <w:rPr>
          <w:rFonts w:ascii="Times New Roman" w:eastAsia="宋体" w:hAnsi="Times New Roman" w:cs="Times New Roman" w:hint="eastAsia"/>
          <w:szCs w:val="21"/>
        </w:rPr>
        <w:t>e</w:t>
      </w:r>
      <w:proofErr w:type="gramStart"/>
      <w:r>
        <w:rPr>
          <w:rFonts w:ascii="Times New Roman" w:hAnsi="Times New Roman" w:cs="Times New Roman" w:hint="eastAsia"/>
          <w:color w:val="000000"/>
          <w:szCs w:val="21"/>
        </w:rPr>
        <w:tab/>
        <w:t xml:space="preserve">  2</w:t>
      </w:r>
      <w:proofErr w:type="gramEnd"/>
      <w:r>
        <w:rPr>
          <w:rFonts w:ascii="Times New Roman" w:hAnsi="Times New Roman" w:cs="Times New Roman" w:hint="eastAsia"/>
          <w:color w:val="000000"/>
          <w:szCs w:val="21"/>
        </w:rPr>
        <w:t xml:space="preserve">. </w:t>
      </w:r>
      <w:r>
        <w:rPr>
          <w:rFonts w:ascii="Times New Roman" w:eastAsia="宋体" w:hAnsi="Times New Roman" w:cs="Times New Roman"/>
          <w:szCs w:val="21"/>
        </w:rPr>
        <w:t>commitment</w:t>
      </w:r>
      <w:r>
        <w:rPr>
          <w:rFonts w:ascii="Times New Roman" w:eastAsia="宋体" w:hAnsi="Times New Roman" w:cs="Times New Roman" w:hint="eastAsia"/>
          <w:szCs w:val="21"/>
        </w:rPr>
        <w:t xml:space="preserve"> </w:t>
      </w:r>
      <w:r>
        <w:rPr>
          <w:rFonts w:ascii="Times New Roman" w:hAnsi="Times New Roman" w:cs="Times New Roman" w:hint="eastAsia"/>
          <w:color w:val="000000"/>
          <w:szCs w:val="21"/>
        </w:rPr>
        <w:tab/>
        <w:t xml:space="preserve">3. </w:t>
      </w:r>
      <w:r>
        <w:rPr>
          <w:rFonts w:ascii="Times New Roman" w:hAnsi="Times New Roman" w:cs="Times New Roman"/>
          <w:color w:val="000000"/>
          <w:szCs w:val="21"/>
        </w:rPr>
        <w:t>tailor</w:t>
      </w:r>
      <w:r>
        <w:rPr>
          <w:rFonts w:ascii="Times New Roman" w:hAnsi="Times New Roman" w:cs="Times New Roman" w:hint="eastAsia"/>
          <w:color w:val="000000"/>
          <w:szCs w:val="21"/>
        </w:rPr>
        <w:tab/>
        <w:t xml:space="preserve">4. </w:t>
      </w:r>
      <w:r>
        <w:rPr>
          <w:rFonts w:ascii="Times New Roman" w:hAnsi="Times New Roman" w:cs="Times New Roman"/>
          <w:color w:val="000000"/>
          <w:szCs w:val="21"/>
        </w:rPr>
        <w:t>structured</w:t>
      </w:r>
      <w:r>
        <w:rPr>
          <w:rFonts w:ascii="Times New Roman" w:hAnsi="Times New Roman" w:cs="Times New Roman" w:hint="eastAsia"/>
          <w:color w:val="000000"/>
          <w:szCs w:val="21"/>
        </w:rPr>
        <w:tab/>
        <w:t xml:space="preserve">5. </w:t>
      </w:r>
      <w:r>
        <w:rPr>
          <w:rFonts w:ascii="Times New Roman" w:hAnsi="Times New Roman" w:cs="Times New Roman"/>
          <w:color w:val="000000"/>
          <w:szCs w:val="21"/>
        </w:rPr>
        <w:t>follow-up</w:t>
      </w:r>
    </w:p>
    <w:p w:rsidR="00FB209C" w:rsidRDefault="00FB209C">
      <w:pPr>
        <w:widowControl/>
        <w:spacing w:line="180" w:lineRule="atLeast"/>
        <w:jc w:val="left"/>
        <w:rPr>
          <w:rFonts w:ascii="Times New Roman" w:hAnsi="Times New Roman" w:cs="Times New Roman"/>
          <w:color w:val="000000"/>
          <w:szCs w:val="21"/>
        </w:rPr>
      </w:pPr>
    </w:p>
    <w:p w:rsidR="00FB209C" w:rsidRDefault="00F925F7">
      <w:pPr>
        <w:widowControl/>
        <w:spacing w:line="180" w:lineRule="atLeast"/>
        <w:jc w:val="left"/>
        <w:rPr>
          <w:rFonts w:ascii="Times New Roman" w:eastAsia="宋体" w:hAnsi="Times New Roman" w:cs="Times New Roman"/>
          <w:b/>
          <w:bCs/>
          <w:szCs w:val="21"/>
        </w:rPr>
      </w:pPr>
      <w:r>
        <w:rPr>
          <w:rFonts w:ascii="Times New Roman" w:hAnsi="Times New Roman" w:cs="Times New Roman"/>
          <w:b/>
          <w:bCs/>
          <w:color w:val="000000"/>
          <w:szCs w:val="21"/>
        </w:rPr>
        <w:t xml:space="preserve">Part II </w:t>
      </w:r>
      <w:r>
        <w:rPr>
          <w:rFonts w:ascii="Times New Roman" w:eastAsia="宋体" w:hAnsi="Times New Roman" w:cs="Times New Roman"/>
          <w:b/>
          <w:bCs/>
          <w:szCs w:val="21"/>
        </w:rPr>
        <w:t xml:space="preserve"> </w:t>
      </w:r>
    </w:p>
    <w:p w:rsidR="00FB209C" w:rsidRDefault="00F925F7">
      <w:pPr>
        <w:rPr>
          <w:rFonts w:ascii="Times New Roman" w:hAnsi="Times New Roman" w:cs="Times New Roman"/>
          <w:color w:val="000000"/>
          <w:szCs w:val="21"/>
        </w:rPr>
      </w:pPr>
      <w:r>
        <w:rPr>
          <w:rFonts w:ascii="Times New Roman" w:eastAsia="宋体" w:hAnsi="Times New Roman" w:cs="Times New Roman"/>
          <w:szCs w:val="21"/>
        </w:rPr>
        <w:t xml:space="preserve">1. A. short and </w:t>
      </w:r>
      <w:proofErr w:type="gramStart"/>
      <w:r>
        <w:rPr>
          <w:rFonts w:ascii="Times New Roman" w:eastAsia="宋体" w:hAnsi="Times New Roman" w:cs="Times New Roman"/>
          <w:szCs w:val="21"/>
        </w:rPr>
        <w:t>clear</w:t>
      </w:r>
      <w:r>
        <w:rPr>
          <w:rFonts w:ascii="Times New Roman" w:eastAsia="宋体" w:hAnsi="Times New Roman" w:cs="Times New Roman" w:hint="eastAsia"/>
          <w:szCs w:val="21"/>
        </w:rPr>
        <w:t xml:space="preserve">  </w:t>
      </w:r>
      <w:r>
        <w:rPr>
          <w:rFonts w:ascii="Times New Roman" w:hAnsi="Times New Roman" w:cs="Times New Roman"/>
          <w:color w:val="000000"/>
          <w:szCs w:val="21"/>
        </w:rPr>
        <w:t>2</w:t>
      </w:r>
      <w:proofErr w:type="gramEnd"/>
      <w:r>
        <w:rPr>
          <w:rFonts w:ascii="Times New Roman" w:hAnsi="Times New Roman" w:cs="Times New Roman"/>
          <w:color w:val="000000"/>
          <w:szCs w:val="21"/>
        </w:rPr>
        <w:t xml:space="preserve">. </w:t>
      </w:r>
      <w:r>
        <w:rPr>
          <w:rFonts w:ascii="Times New Roman" w:eastAsia="宋体" w:hAnsi="Times New Roman" w:cs="Times New Roman"/>
          <w:szCs w:val="21"/>
        </w:rPr>
        <w:t>D. dedication</w:t>
      </w:r>
      <w:r>
        <w:rPr>
          <w:rFonts w:ascii="Times New Roman" w:hAnsi="Times New Roman" w:cs="Times New Roman"/>
          <w:color w:val="000000"/>
          <w:szCs w:val="21"/>
        </w:rPr>
        <w:t xml:space="preserve"> </w:t>
      </w:r>
      <w:r>
        <w:rPr>
          <w:rFonts w:ascii="Times New Roman" w:hAnsi="Times New Roman" w:cs="Times New Roman"/>
          <w:color w:val="000000"/>
          <w:szCs w:val="21"/>
        </w:rPr>
        <w:tab/>
        <w:t xml:space="preserve">3. </w:t>
      </w:r>
      <w:r>
        <w:rPr>
          <w:rFonts w:ascii="Times New Roman" w:eastAsia="宋体" w:hAnsi="Times New Roman" w:cs="Times New Roman"/>
          <w:szCs w:val="21"/>
        </w:rPr>
        <w:t>B. action</w:t>
      </w:r>
      <w:r>
        <w:rPr>
          <w:rFonts w:ascii="Times New Roman" w:hAnsi="Times New Roman" w:cs="Times New Roman"/>
          <w:color w:val="000000"/>
          <w:szCs w:val="21"/>
        </w:rPr>
        <w:t xml:space="preserve"> </w:t>
      </w:r>
      <w:r>
        <w:rPr>
          <w:rFonts w:ascii="Times New Roman" w:hAnsi="Times New Roman" w:cs="Times New Roman"/>
          <w:color w:val="000000"/>
          <w:szCs w:val="21"/>
        </w:rPr>
        <w:tab/>
        <w:t xml:space="preserve">4. C. toughness </w:t>
      </w:r>
      <w:r>
        <w:rPr>
          <w:rFonts w:ascii="Times New Roman" w:hAnsi="Times New Roman" w:cs="Times New Roman"/>
          <w:color w:val="000000"/>
          <w:szCs w:val="21"/>
        </w:rPr>
        <w:tab/>
        <w:t>5.</w:t>
      </w:r>
      <w:r>
        <w:rPr>
          <w:rFonts w:ascii="Times New Roman" w:hAnsi="Times New Roman" w:cs="Times New Roman" w:hint="eastAsia"/>
          <w:color w:val="000000"/>
          <w:szCs w:val="21"/>
        </w:rPr>
        <w:t xml:space="preserve"> </w:t>
      </w:r>
      <w:r>
        <w:rPr>
          <w:rFonts w:ascii="Times New Roman" w:hAnsi="Times New Roman" w:cs="Times New Roman"/>
          <w:color w:val="000000"/>
          <w:szCs w:val="21"/>
        </w:rPr>
        <w:t>C. suitability</w:t>
      </w:r>
    </w:p>
    <w:p w:rsidR="00FB209C" w:rsidRDefault="00FB209C">
      <w:pPr>
        <w:widowControl/>
        <w:spacing w:line="180" w:lineRule="atLeast"/>
        <w:jc w:val="left"/>
        <w:rPr>
          <w:rFonts w:ascii="Times New Roman" w:hAnsi="Times New Roman" w:cs="Times New Roman"/>
          <w:color w:val="000000"/>
          <w:szCs w:val="21"/>
        </w:rPr>
      </w:pPr>
    </w:p>
    <w:p w:rsidR="00FB209C" w:rsidRDefault="00F925F7">
      <w:pPr>
        <w:widowControl/>
        <w:spacing w:line="180" w:lineRule="atLeast"/>
        <w:jc w:val="left"/>
        <w:rPr>
          <w:rFonts w:ascii="Times New Roman" w:hAnsi="Times New Roman" w:cs="Times New Roman"/>
          <w:b/>
          <w:bCs/>
          <w:color w:val="000000"/>
          <w:szCs w:val="21"/>
        </w:rPr>
      </w:pPr>
      <w:r>
        <w:rPr>
          <w:rFonts w:ascii="Times New Roman" w:hAnsi="Times New Roman" w:cs="Times New Roman"/>
          <w:b/>
          <w:bCs/>
          <w:color w:val="000000"/>
          <w:szCs w:val="21"/>
        </w:rPr>
        <w:t xml:space="preserve">Part III </w:t>
      </w:r>
    </w:p>
    <w:p w:rsidR="00FB209C" w:rsidRDefault="00F925F7">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Sample translation:</w:t>
      </w:r>
    </w:p>
    <w:p w:rsidR="00FB209C" w:rsidRDefault="00F925F7">
      <w:pPr>
        <w:widowControl/>
        <w:spacing w:line="180" w:lineRule="atLeast"/>
        <w:jc w:val="left"/>
        <w:rPr>
          <w:rFonts w:ascii="Times New Roman" w:eastAsia="宋体" w:hAnsi="Times New Roman" w:cs="Times New Roman"/>
          <w:szCs w:val="21"/>
        </w:rPr>
      </w:pPr>
      <w:r>
        <w:rPr>
          <w:rFonts w:ascii="Times New Roman" w:eastAsia="宋体" w:hAnsi="Times New Roman" w:cs="Times New Roman"/>
          <w:szCs w:val="21"/>
        </w:rPr>
        <w:t>During an interview, candidates should respond to questions in a clear and structured manner rather than speaking randomly. Using an appropriate framework can help present abilities and professional attributes more effectively. By describing real situations and emphasizing measurable results, candidates can strengthen their credibility and make their answers more persuasive. At the same time, maintaining a calm and confident demeanor under pressure reflects emotional maturity.</w:t>
      </w:r>
    </w:p>
    <w:p w:rsidR="00FB209C" w:rsidRDefault="00FB209C">
      <w:pPr>
        <w:widowControl/>
        <w:spacing w:line="180" w:lineRule="atLeast"/>
        <w:jc w:val="left"/>
        <w:rPr>
          <w:rFonts w:ascii="Times New Roman" w:eastAsia="宋体" w:hAnsi="Times New Roman" w:cs="Times New Roman"/>
          <w:szCs w:val="21"/>
        </w:rPr>
      </w:pPr>
    </w:p>
    <w:p w:rsidR="00FB209C" w:rsidRDefault="00F925F7">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Part IV</w:t>
      </w:r>
    </w:p>
    <w:p w:rsidR="00FB209C" w:rsidRDefault="00F925F7">
      <w:pPr>
        <w:widowControl/>
        <w:spacing w:line="180" w:lineRule="atLeast"/>
        <w:jc w:val="left"/>
        <w:rPr>
          <w:rFonts w:ascii="Times New Roman" w:eastAsia="宋体" w:hAnsi="Times New Roman" w:cs="Times New Roman"/>
          <w:b/>
          <w:bCs/>
          <w:szCs w:val="21"/>
        </w:rPr>
      </w:pPr>
      <w:r>
        <w:rPr>
          <w:rFonts w:ascii="Times New Roman" w:eastAsia="宋体" w:hAnsi="Times New Roman" w:cs="Times New Roman" w:hint="eastAsia"/>
          <w:b/>
          <w:bCs/>
          <w:szCs w:val="21"/>
        </w:rPr>
        <w:t>Sample answers (PEEL structure, 1 minute)</w:t>
      </w: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1. Apart from the job advertisement, what other ways can candidates understand an employer’s expectations and needs?</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Apart from the job advertisement, candidates can learn about an employer’s expectations through company research and professional networking. The passage suggests that understanding company culture and values is just as important as understanding technical requirements. For example, candidates can visit the company’s official website, read recent news, study its mission statement, or review employee profiles on professional platforms. They may also speak with alumni or current employees to gain insider perspectives. By gathering information from multiple sources, candidates can better tailor their answers and demonstrate alignment with the organization. Therefore, deeper research helps transform general preparation into targeted and strategic communication.</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2. Why is it important to keep your answers concise during an interview?</w:t>
      </w: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Being concise is important because interview time is limited and clarity leaves a stronger impression. The passage emphasizes that interviewers often form judgments quickly, so responses must be focused and well-organized. If a candidate speaks too long or includes unnecessary details, the key message may become unclear. Concise answers show that the candidate can prioritize important information and communicate efficiently. This skill is highly valued in professional environments. Therefore, clear and brief responses not only respect the interviewer’s time but also reflect strong communication competence.</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3. How does the STAR method help candidates clearly present their key skills and personal strengths during an interview?</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 xml:space="preserve">The STAR method helps candidates present their abilities in a logical and convincing way. The </w:t>
      </w:r>
      <w:r>
        <w:rPr>
          <w:rFonts w:ascii="Times New Roman" w:eastAsia="宋体" w:hAnsi="Times New Roman" w:cs="Times New Roman"/>
          <w:szCs w:val="21"/>
        </w:rPr>
        <w:lastRenderedPageBreak/>
        <w:t xml:space="preserve">passage highlights the importance of structured answers supported by measurable results. By describing the Situation, Task, Action, and Result, candidates can explain not only what they did but also how and why it mattered. This structure prevents vague or disorganized responses. For example, instead of simply saying “I worked well in a team,” a candidate can describe a specific project, their responsibility, the actions they took, and the </w:t>
      </w:r>
      <w:proofErr w:type="gramStart"/>
      <w:r>
        <w:rPr>
          <w:rFonts w:ascii="Times New Roman" w:eastAsia="宋体" w:hAnsi="Times New Roman" w:cs="Times New Roman"/>
          <w:szCs w:val="21"/>
        </w:rPr>
        <w:t>final outcome</w:t>
      </w:r>
      <w:proofErr w:type="gramEnd"/>
      <w:r>
        <w:rPr>
          <w:rFonts w:ascii="Times New Roman" w:eastAsia="宋体" w:hAnsi="Times New Roman" w:cs="Times New Roman"/>
          <w:szCs w:val="21"/>
        </w:rPr>
        <w:t>. As a result, the interviewer gains clear evidence of competence. Therefore, the STAR method transforms experiences into persuasive proof of ability.</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4. How can a candidate maintain a confident demeanor under pressure?</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A candidate can maintain confidence under pressure through preparation and mindset. The passage explains that structured practice reduces anxiety and increases readiness. When candidates rehearse key experiences and anticipate possible questions, they feel more secure during the interview. In addition, simple techniques such as controlled breathing, steady eye contact, and positive self-talk can help manage nervousness. Viewing the interview as a professional conversation rather than a test also reduces pressure. Therefore, confidence is not just natural talent but the result of thorough preparation and emotional control.</w:t>
      </w:r>
    </w:p>
    <w:p w:rsidR="00FB209C" w:rsidRDefault="00FB209C">
      <w:pPr>
        <w:rPr>
          <w:rFonts w:ascii="Times New Roman" w:eastAsia="宋体" w:hAnsi="Times New Roman" w:cs="Times New Roman"/>
          <w:szCs w:val="21"/>
        </w:rPr>
      </w:pPr>
    </w:p>
    <w:p w:rsidR="00FB209C" w:rsidRDefault="00F925F7">
      <w:pPr>
        <w:rPr>
          <w:rFonts w:ascii="Times New Roman" w:eastAsia="宋体" w:hAnsi="Times New Roman" w:cs="Times New Roman"/>
          <w:szCs w:val="21"/>
        </w:rPr>
      </w:pPr>
      <w:r>
        <w:rPr>
          <w:rFonts w:ascii="Times New Roman" w:eastAsia="宋体" w:hAnsi="Times New Roman" w:cs="Times New Roman"/>
          <w:szCs w:val="21"/>
        </w:rPr>
        <w:t>5. Why is it advantageous to send a thank-you note after an interview?</w:t>
      </w:r>
    </w:p>
    <w:p w:rsidR="00FB209C" w:rsidRDefault="00FB209C">
      <w:pPr>
        <w:rPr>
          <w:rFonts w:ascii="Times New Roman" w:eastAsia="宋体" w:hAnsi="Times New Roman" w:cs="Times New Roman"/>
          <w:szCs w:val="21"/>
        </w:rPr>
      </w:pPr>
    </w:p>
    <w:p w:rsidR="00FB209C" w:rsidRDefault="00F925F7">
      <w:pPr>
        <w:rPr>
          <w:rFonts w:ascii="Segoe UI Emoji" w:eastAsia="Segoe UI Emoji" w:hAnsi="Segoe UI Emoji" w:cs="Segoe UI Emoji"/>
          <w:szCs w:val="21"/>
        </w:rPr>
      </w:pPr>
      <w:r>
        <w:rPr>
          <w:rFonts w:ascii="Times New Roman" w:eastAsia="宋体" w:hAnsi="Times New Roman" w:cs="Times New Roman"/>
          <w:szCs w:val="21"/>
        </w:rPr>
        <w:t>Sending a thank-you note is advantageous because it reinforces professionalism and leaves a lasting positive impression. The passage emphasizes that small actions reflecting courtesy and persistence can influence long-term evaluation. A brief and polite message expressing appreciation for the opportunity shows respect and continued interest in the position. It also provides a chance to restate key strengths or clarify a point discussed during the interview. This follow-up communication demonstrates maturity and attention to detail. Therefore, a thank-you note can strengthen a candidate’s overall professional image even after the interview has ended.</w:t>
      </w:r>
    </w:p>
    <w:sectPr w:rsidR="00FB20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35E" w:rsidRDefault="0071235E" w:rsidP="00D02DAF">
      <w:r>
        <w:separator/>
      </w:r>
    </w:p>
  </w:endnote>
  <w:endnote w:type="continuationSeparator" w:id="0">
    <w:p w:rsidR="0071235E" w:rsidRDefault="0071235E" w:rsidP="00D0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35E" w:rsidRDefault="0071235E" w:rsidP="00D02DAF">
      <w:r>
        <w:separator/>
      </w:r>
    </w:p>
  </w:footnote>
  <w:footnote w:type="continuationSeparator" w:id="0">
    <w:p w:rsidR="0071235E" w:rsidRDefault="0071235E" w:rsidP="00D02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CDA72F3"/>
    <w:multiLevelType w:val="singleLevel"/>
    <w:tmpl w:val="ACDA72F3"/>
    <w:lvl w:ilvl="0">
      <w:start w:val="1"/>
      <w:numFmt w:val="bullet"/>
      <w:lvlText w:val=""/>
      <w:lvlJc w:val="left"/>
      <w:pPr>
        <w:ind w:left="420" w:hanging="420"/>
      </w:pPr>
      <w:rPr>
        <w:rFonts w:ascii="Wingdings" w:hAnsi="Wingdings" w:hint="default"/>
      </w:rPr>
    </w:lvl>
  </w:abstractNum>
  <w:abstractNum w:abstractNumId="1" w15:restartNumberingAfterBreak="0">
    <w:nsid w:val="E20EA582"/>
    <w:multiLevelType w:val="singleLevel"/>
    <w:tmpl w:val="E20EA582"/>
    <w:lvl w:ilvl="0">
      <w:start w:val="1"/>
      <w:numFmt w:val="decimal"/>
      <w:suff w:val="space"/>
      <w:lvlText w:val="%1."/>
      <w:lvlJc w:val="left"/>
    </w:lvl>
  </w:abstractNum>
  <w:abstractNum w:abstractNumId="2" w15:restartNumberingAfterBreak="0">
    <w:nsid w:val="345B209F"/>
    <w:multiLevelType w:val="singleLevel"/>
    <w:tmpl w:val="345B209F"/>
    <w:lvl w:ilvl="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9C"/>
    <w:rsid w:val="0007079F"/>
    <w:rsid w:val="0071235E"/>
    <w:rsid w:val="007A7BA2"/>
    <w:rsid w:val="00AB74F6"/>
    <w:rsid w:val="00AE27EB"/>
    <w:rsid w:val="00C81C2D"/>
    <w:rsid w:val="00D02DAF"/>
    <w:rsid w:val="00E3021C"/>
    <w:rsid w:val="00E9774E"/>
    <w:rsid w:val="00F925F7"/>
    <w:rsid w:val="00FB209C"/>
    <w:rsid w:val="00FD0722"/>
    <w:rsid w:val="032B5363"/>
    <w:rsid w:val="08076FE6"/>
    <w:rsid w:val="09C33F12"/>
    <w:rsid w:val="10BD442D"/>
    <w:rsid w:val="122443DF"/>
    <w:rsid w:val="12CE2F7F"/>
    <w:rsid w:val="16AB1E30"/>
    <w:rsid w:val="19CE4ADE"/>
    <w:rsid w:val="27D8088F"/>
    <w:rsid w:val="285A74F6"/>
    <w:rsid w:val="2F1B6677"/>
    <w:rsid w:val="2F3861AE"/>
    <w:rsid w:val="2FB3644D"/>
    <w:rsid w:val="31A73541"/>
    <w:rsid w:val="32F765A7"/>
    <w:rsid w:val="36DE51E0"/>
    <w:rsid w:val="40F005A0"/>
    <w:rsid w:val="41314E40"/>
    <w:rsid w:val="446E21B6"/>
    <w:rsid w:val="4D402ACE"/>
    <w:rsid w:val="4EA01039"/>
    <w:rsid w:val="536226E2"/>
    <w:rsid w:val="589E3520"/>
    <w:rsid w:val="5EB56C59"/>
    <w:rsid w:val="60F11A9E"/>
    <w:rsid w:val="61C43236"/>
    <w:rsid w:val="64B21C19"/>
    <w:rsid w:val="76BF7E9B"/>
    <w:rsid w:val="782A45D5"/>
    <w:rsid w:val="7E287906"/>
    <w:rsid w:val="7E995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E253513"/>
  <w15:docId w15:val="{4AA11FAD-6AF2-4D40-93C6-413D011C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character" w:styleId="a5">
    <w:name w:val="Hyperlink"/>
    <w:basedOn w:val="a0"/>
    <w:qFormat/>
    <w:rPr>
      <w:color w:val="0000FF"/>
      <w:u w:val="single"/>
    </w:rPr>
  </w:style>
  <w:style w:type="paragraph" w:styleId="a6">
    <w:name w:val="header"/>
    <w:basedOn w:val="a"/>
    <w:link w:val="a7"/>
    <w:rsid w:val="00D02DA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D02DAF"/>
    <w:rPr>
      <w:rFonts w:asciiTheme="minorHAnsi" w:eastAsiaTheme="minorEastAsia" w:hAnsiTheme="minorHAnsi" w:cstheme="minorBidi"/>
      <w:kern w:val="2"/>
      <w:sz w:val="18"/>
      <w:szCs w:val="18"/>
    </w:rPr>
  </w:style>
  <w:style w:type="paragraph" w:styleId="a8">
    <w:name w:val="footer"/>
    <w:basedOn w:val="a"/>
    <w:link w:val="a9"/>
    <w:rsid w:val="00D02DAF"/>
    <w:pPr>
      <w:tabs>
        <w:tab w:val="center" w:pos="4153"/>
        <w:tab w:val="right" w:pos="8306"/>
      </w:tabs>
      <w:snapToGrid w:val="0"/>
      <w:jc w:val="left"/>
    </w:pPr>
    <w:rPr>
      <w:sz w:val="18"/>
      <w:szCs w:val="18"/>
    </w:rPr>
  </w:style>
  <w:style w:type="character" w:customStyle="1" w:styleId="a9">
    <w:name w:val="页脚 字符"/>
    <w:basedOn w:val="a0"/>
    <w:link w:val="a8"/>
    <w:rsid w:val="00D02DA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zhenz</dc:creator>
  <cp:lastModifiedBy>江晓燕</cp:lastModifiedBy>
  <cp:revision>3</cp:revision>
  <dcterms:created xsi:type="dcterms:W3CDTF">2026-03-27T14:27:00Z</dcterms:created>
  <dcterms:modified xsi:type="dcterms:W3CDTF">2026-03-27T14:27:00Z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eyJoZGlkIjoiYWQ1OWI4YzcwZjdhZTkyNTQyZTA2MmMyZjI3YTE5MTciLCJ1c2VySWQiOiIxNTk4MDUxNjYifQ==</vt:lpwstr>
  </property>
  <property fmtid="{D5CDD505-2E9C-101B-9397-08002B2CF9AE}" pid="4" name="ICV">
    <vt:lpwstr>4FE17902E007468EA8B4934E0E9AAD20_12</vt:lpwstr>
  </property>
</Properties>
</file>