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958849" w14:textId="77777777" w:rsidR="00804FE1" w:rsidRDefault="001F12D0" w:rsidP="001F12D0">
      <w:pPr>
        <w:widowControl/>
        <w:jc w:val="center"/>
        <w:rPr>
          <w:rFonts w:ascii="Times New Roman" w:eastAsia="宋体" w:hAnsi="Times New Roman" w:cs="Times New Roman"/>
          <w:color w:val="242021"/>
          <w:kern w:val="0"/>
          <w:szCs w:val="21"/>
        </w:rPr>
      </w:pPr>
      <w:bookmarkStart w:id="0" w:name="_GoBack"/>
      <w:bookmarkEnd w:id="0"/>
      <w:r>
        <w:rPr>
          <w:rFonts w:ascii="Times New Roman" w:eastAsia="宋体" w:hAnsi="Times New Roman" w:cs="Times New Roman"/>
          <w:color w:val="242021"/>
          <w:kern w:val="0"/>
          <w:szCs w:val="21"/>
        </w:rPr>
        <w:t>参考答案：</w:t>
      </w:r>
    </w:p>
    <w:p w14:paraId="3DEF912A" w14:textId="77777777" w:rsidR="00804FE1" w:rsidRDefault="001F12D0">
      <w:pPr>
        <w:widowControl/>
        <w:rPr>
          <w:rFonts w:ascii="Times New Roman" w:eastAsia="宋体" w:hAnsi="Times New Roman" w:cs="Times New Roman"/>
          <w:color w:val="242021"/>
          <w:kern w:val="0"/>
          <w:szCs w:val="21"/>
        </w:rPr>
      </w:pPr>
      <w:r>
        <w:rPr>
          <w:rFonts w:ascii="Times New Roman" w:eastAsia="宋体" w:hAnsi="Times New Roman" w:cs="Times New Roman"/>
          <w:color w:val="242021"/>
          <w:kern w:val="0"/>
          <w:szCs w:val="21"/>
        </w:rPr>
        <w:t>I.</w:t>
      </w:r>
    </w:p>
    <w:p w14:paraId="3A4F6529" w14:textId="77777777" w:rsidR="00804FE1" w:rsidRDefault="001F12D0">
      <w:pPr>
        <w:widowControl/>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 xml:space="preserve">1. reinforce 2. summarize 3. unprecedented 4. appeal 5. </w:t>
      </w:r>
      <w:r>
        <w:rPr>
          <w:rFonts w:ascii="Times New Roman" w:eastAsia="宋体" w:hAnsi="Times New Roman" w:cs="Times New Roman" w:hint="eastAsia"/>
          <w:color w:val="000000"/>
          <w:kern w:val="0"/>
          <w:szCs w:val="21"/>
        </w:rPr>
        <w:t>a</w:t>
      </w:r>
      <w:r>
        <w:rPr>
          <w:rFonts w:ascii="Times New Roman" w:eastAsia="宋体" w:hAnsi="Times New Roman" w:cs="Times New Roman"/>
          <w:color w:val="000000"/>
          <w:kern w:val="0"/>
          <w:szCs w:val="21"/>
        </w:rPr>
        <w:t>brupt</w:t>
      </w:r>
    </w:p>
    <w:p w14:paraId="093ED5BF" w14:textId="77777777" w:rsidR="00804FE1" w:rsidRDefault="001F12D0">
      <w:pPr>
        <w:widowControl/>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II</w:t>
      </w:r>
      <w:r>
        <w:rPr>
          <w:rFonts w:ascii="Times New Roman" w:eastAsia="宋体" w:hAnsi="Segoe UI" w:cs="Times New Roman"/>
          <w:color w:val="000000"/>
          <w:kern w:val="0"/>
          <w:szCs w:val="21"/>
        </w:rPr>
        <w:t>．</w:t>
      </w:r>
    </w:p>
    <w:p w14:paraId="69B86490" w14:textId="77777777" w:rsidR="00804FE1" w:rsidRDefault="001F12D0">
      <w:pPr>
        <w:pStyle w:val="a3"/>
        <w:widowControl/>
        <w:numPr>
          <w:ilvl w:val="0"/>
          <w:numId w:val="1"/>
        </w:numPr>
        <w:ind w:firstLineChars="0"/>
        <w:rPr>
          <w:rFonts w:ascii="Times New Roman" w:eastAsia="宋体" w:hAnsi="Times New Roman" w:cs="Times New Roman"/>
          <w:color w:val="242021"/>
          <w:kern w:val="0"/>
          <w:szCs w:val="21"/>
        </w:rPr>
      </w:pPr>
      <w:r>
        <w:rPr>
          <w:rFonts w:ascii="Times New Roman" w:eastAsia="宋体" w:hAnsi="Times New Roman" w:cs="Times New Roman"/>
          <w:color w:val="000000"/>
          <w:kern w:val="0"/>
          <w:szCs w:val="21"/>
        </w:rPr>
        <w:t>B 2. C 3. B 4. C 5. A</w:t>
      </w:r>
    </w:p>
    <w:p w14:paraId="63E045C6" w14:textId="77777777" w:rsidR="00804FE1" w:rsidRDefault="001F12D0">
      <w:pPr>
        <w:widowControl/>
        <w:rPr>
          <w:rFonts w:ascii="Times New Roman" w:eastAsia="宋体" w:hAnsi="Times New Roman" w:cs="Times New Roman"/>
          <w:color w:val="242021"/>
          <w:kern w:val="0"/>
          <w:szCs w:val="21"/>
        </w:rPr>
      </w:pPr>
      <w:r>
        <w:rPr>
          <w:rFonts w:ascii="Times New Roman" w:eastAsia="宋体" w:hAnsi="Times New Roman" w:cs="Times New Roman"/>
          <w:color w:val="242021"/>
          <w:kern w:val="0"/>
          <w:szCs w:val="21"/>
        </w:rPr>
        <w:t xml:space="preserve">III. </w:t>
      </w:r>
    </w:p>
    <w:p w14:paraId="38917775" w14:textId="77777777" w:rsidR="00804FE1" w:rsidRDefault="001F12D0">
      <w:pPr>
        <w:pStyle w:val="a3"/>
        <w:widowControl/>
        <w:numPr>
          <w:ilvl w:val="0"/>
          <w:numId w:val="2"/>
        </w:numPr>
        <w:ind w:firstLineChars="0"/>
        <w:rPr>
          <w:rFonts w:ascii="Times New Roman" w:eastAsia="宋体" w:hAnsi="Times New Roman" w:cs="Times New Roman"/>
          <w:color w:val="242021"/>
          <w:kern w:val="0"/>
          <w:szCs w:val="21"/>
        </w:rPr>
      </w:pPr>
      <w:r>
        <w:rPr>
          <w:rFonts w:ascii="Times New Roman" w:eastAsia="宋体" w:hAnsi="Times New Roman" w:cs="Times New Roman"/>
          <w:color w:val="000000"/>
          <w:kern w:val="0"/>
          <w:szCs w:val="21"/>
        </w:rPr>
        <w:t xml:space="preserve">If the conclusion of a piece of writing can echo the core viewpoint from the introduction, it will not only make the article’s structure more complete </w:t>
      </w:r>
      <w:r>
        <w:rPr>
          <w:rFonts w:ascii="Times New Roman" w:eastAsia="宋体" w:hAnsi="Times New Roman" w:cs="Times New Roman"/>
          <w:color w:val="000000"/>
          <w:kern w:val="0"/>
          <w:szCs w:val="21"/>
        </w:rPr>
        <w:t>but also help readers leave a deeper impression of the full text’s main idea.</w:t>
      </w:r>
    </w:p>
    <w:p w14:paraId="44CD4A71" w14:textId="77777777" w:rsidR="00804FE1" w:rsidRDefault="001F12D0">
      <w:pPr>
        <w:pStyle w:val="a3"/>
        <w:widowControl/>
        <w:numPr>
          <w:ilvl w:val="0"/>
          <w:numId w:val="2"/>
        </w:numPr>
        <w:ind w:firstLineChars="0"/>
        <w:rPr>
          <w:rFonts w:ascii="Times New Roman" w:eastAsia="宋体" w:hAnsi="Times New Roman" w:cs="Times New Roman"/>
          <w:color w:val="242021"/>
          <w:kern w:val="0"/>
          <w:szCs w:val="21"/>
        </w:rPr>
      </w:pPr>
      <w:r>
        <w:rPr>
          <w:rFonts w:ascii="Times New Roman" w:eastAsia="宋体" w:hAnsi="Times New Roman" w:cs="Times New Roman"/>
          <w:color w:val="000000"/>
          <w:kern w:val="0"/>
          <w:szCs w:val="21"/>
        </w:rPr>
        <w:t>The conclusion of an argumentative essay can extend the thesis from theory to practice by putting forward specific suggestions or looking into the future, making the article’s pr</w:t>
      </w:r>
      <w:r>
        <w:rPr>
          <w:rFonts w:ascii="Times New Roman" w:eastAsia="宋体" w:hAnsi="Times New Roman" w:cs="Times New Roman"/>
          <w:color w:val="000000"/>
          <w:kern w:val="0"/>
          <w:szCs w:val="21"/>
        </w:rPr>
        <w:t>actical significance more prominent.</w:t>
      </w:r>
    </w:p>
    <w:p w14:paraId="5681258E" w14:textId="77777777" w:rsidR="00804FE1" w:rsidRDefault="001F12D0">
      <w:pPr>
        <w:pStyle w:val="a3"/>
        <w:widowControl/>
        <w:numPr>
          <w:ilvl w:val="0"/>
          <w:numId w:val="2"/>
        </w:numPr>
        <w:ind w:firstLineChars="0"/>
        <w:rPr>
          <w:rFonts w:ascii="Times New Roman" w:eastAsia="宋体" w:hAnsi="Times New Roman" w:cs="Times New Roman"/>
          <w:color w:val="242021"/>
          <w:kern w:val="0"/>
          <w:szCs w:val="21"/>
        </w:rPr>
      </w:pPr>
      <w:r>
        <w:rPr>
          <w:rFonts w:ascii="Times New Roman" w:eastAsia="宋体" w:hAnsi="Times New Roman" w:cs="Times New Roman"/>
          <w:color w:val="000000"/>
          <w:kern w:val="0"/>
          <w:szCs w:val="21"/>
        </w:rPr>
        <w:t>In the conclusion of the expository article, the author summarized the key data of the full text in one sentence, which not only avoided information redundancy but also quickly helped readers sort out the core content.</w:t>
      </w:r>
    </w:p>
    <w:p w14:paraId="45BE2A75" w14:textId="77777777" w:rsidR="00804FE1" w:rsidRDefault="001F12D0">
      <w:pPr>
        <w:pStyle w:val="a3"/>
        <w:widowControl/>
        <w:numPr>
          <w:ilvl w:val="0"/>
          <w:numId w:val="2"/>
        </w:numPr>
        <w:ind w:firstLineChars="0"/>
        <w:rPr>
          <w:rFonts w:ascii="Times New Roman" w:eastAsia="宋体" w:hAnsi="Times New Roman" w:cs="Times New Roman"/>
          <w:color w:val="242021"/>
          <w:kern w:val="0"/>
          <w:szCs w:val="21"/>
        </w:rPr>
      </w:pPr>
      <w:r>
        <w:rPr>
          <w:rFonts w:ascii="Times New Roman" w:eastAsia="宋体" w:hAnsi="Times New Roman" w:cs="Times New Roman"/>
          <w:color w:val="000000"/>
          <w:kern w:val="0"/>
          <w:szCs w:val="21"/>
        </w:rPr>
        <w:t>To make the conclusion of writing more touching, it is recommended to appropriately use lyrical language, which can better arouse readers’ emotional resonance, especially in essays or narrative writings.</w:t>
      </w:r>
    </w:p>
    <w:p w14:paraId="33458207" w14:textId="77777777" w:rsidR="00804FE1" w:rsidRDefault="001F12D0">
      <w:pPr>
        <w:pStyle w:val="a3"/>
        <w:widowControl/>
        <w:numPr>
          <w:ilvl w:val="0"/>
          <w:numId w:val="2"/>
        </w:numPr>
        <w:ind w:firstLineChars="0"/>
        <w:rPr>
          <w:rFonts w:ascii="Times New Roman" w:eastAsia="宋体" w:hAnsi="Times New Roman" w:cs="Times New Roman"/>
          <w:color w:val="242021"/>
          <w:kern w:val="0"/>
          <w:szCs w:val="21"/>
        </w:rPr>
      </w:pPr>
      <w:r>
        <w:rPr>
          <w:rFonts w:ascii="Times New Roman" w:eastAsia="宋体" w:hAnsi="Times New Roman" w:cs="Times New Roman"/>
          <w:color w:val="000000"/>
          <w:kern w:val="0"/>
          <w:szCs w:val="21"/>
        </w:rPr>
        <w:t>The conclusion of academic writing needs to objectiv</w:t>
      </w:r>
      <w:r>
        <w:rPr>
          <w:rFonts w:ascii="Times New Roman" w:eastAsia="宋体" w:hAnsi="Times New Roman" w:cs="Times New Roman"/>
          <w:color w:val="000000"/>
          <w:kern w:val="0"/>
          <w:szCs w:val="21"/>
        </w:rPr>
        <w:t>ely point out the research limitations and propose future research directions, which can reflect the rigor of the research and provide references for subsequent exploration.</w:t>
      </w:r>
    </w:p>
    <w:p w14:paraId="2C9878B6" w14:textId="77777777" w:rsidR="00804FE1" w:rsidRDefault="00804FE1"/>
    <w:sectPr w:rsidR="00804F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1227D"/>
    <w:multiLevelType w:val="multilevel"/>
    <w:tmpl w:val="04B1227D"/>
    <w:lvl w:ilvl="0">
      <w:start w:val="1"/>
      <w:numFmt w:val="decimal"/>
      <w:lvlText w:val="%1."/>
      <w:lvlJc w:val="left"/>
      <w:pPr>
        <w:ind w:left="360" w:hanging="360"/>
      </w:pPr>
      <w:rPr>
        <w:rFonts w:ascii="Segoe UI" w:hAnsi="Segoe UI" w:cs="Segoe UI" w:hint="default"/>
        <w:color w:val="000000"/>
        <w:sz w:val="1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A67022"/>
    <w:multiLevelType w:val="multilevel"/>
    <w:tmpl w:val="08A67022"/>
    <w:lvl w:ilvl="0">
      <w:start w:val="1"/>
      <w:numFmt w:val="decimal"/>
      <w:lvlText w:val="%1."/>
      <w:lvlJc w:val="left"/>
      <w:pPr>
        <w:ind w:left="360" w:hanging="360"/>
      </w:pPr>
      <w:rPr>
        <w:rFonts w:ascii="Segoe UI" w:hAnsi="Segoe UI" w:cs="Segoe UI" w:hint="default"/>
        <w:color w:val="000000"/>
        <w:sz w:val="1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FE1"/>
    <w:rsid w:val="001F12D0"/>
    <w:rsid w:val="00804FE1"/>
    <w:rsid w:val="59BD6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1CEE160-1EDD-4A03-995B-5A9B3E8C3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178</Words>
  <Characters>1020</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zhenz</dc:creator>
  <cp:lastModifiedBy>江晓燕</cp:lastModifiedBy>
  <cp:revision>2</cp:revision>
  <dcterms:created xsi:type="dcterms:W3CDTF">2025-09-24T10:16:00Z</dcterms:created>
  <dcterms:modified xsi:type="dcterms:W3CDTF">2025-11-19T14:24:00Z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eyJoZGlkIjoiMzEwNTM5NzYwMDRjMzkwZTVkZjY2ODkwMGIxNGU0OTUiLCJ1c2VySWQiOiI4MjY0ODA1NzEifQ==</vt:lpwstr>
  </property>
  <property fmtid="{D5CDD505-2E9C-101B-9397-08002B2CF9AE}" pid="4" name="ICV">
    <vt:lpwstr>73801D35AE724EE8ACDC3F706C286D05_12</vt:lpwstr>
  </property>
</Properties>
</file>