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line="240" w:lineRule="auto"/>
        <w:jc w:val="center"/>
      </w:pPr>
      <w:r>
        <w:rPr>
          <w:rFonts w:ascii="Calibri" w:hAnsi="Calibri"/>
          <w:b/>
          <w:color w:val="000000"/>
          <w:sz w:val="48"/>
        </w:rPr>
        <w:t>Doopify Sol Remediation Review Report</w:t>
      </w:r>
    </w:p>
    <w:p>
      <w:pPr>
        <w:keepNext w:val="0"/>
        <w:spacing w:before="0" w:after="280" w:line="240" w:lineRule="auto"/>
        <w:jc w:val="center"/>
      </w:pPr>
      <w:r>
        <w:rPr>
          <w:rFonts w:ascii="Calibri" w:hAnsi="Calibri"/>
          <w:color w:val="5A5A5A"/>
          <w:sz w:val="22"/>
        </w:rPr>
        <w:t>Independent final read-only review of the exact Git range 0227932e910e97bafac5d37736c115e83d2a770c..0f6a6c1f2c07572dc9bb2c9c538f4db63e6aad64</w:t>
      </w:r>
    </w:p>
    <w:tbl>
      <w:tblPr>
        <w:tblStyle w:val="TableGrid"/>
        <w:tblW w:type="dxa" w:w="9360"/>
        <w:jc w:val="left"/>
        <w:tblLayout w:type="fixed"/>
        <w:tblLook w:firstColumn="1" w:firstRow="1" w:lastColumn="0" w:lastRow="0" w:noHBand="0" w:noVBand="1" w:val="04A0"/>
        <w:tblInd w:type="dxa" w:w="120"/>
      </w:tblPr>
      <w:tblGrid>
        <w:gridCol w:w="1700"/>
        <w:gridCol w:w="7660"/>
      </w:tblGrid>
      <w:tr>
        <w:trPr/>
        <w:tc>
          <w:tcPr>
            <w:tcW w:type="dxa" w:w="1700"/>
            <w:vAlign w:val="top"/>
            <w:shd w:fill="F2F4F7"/>
            <w:tcMar>
              <w:top w:w="80" w:type="dxa"/>
              <w:bottom w:w="80" w:type="dxa"/>
              <w:start w:w="120" w:type="dxa"/>
              <w:end w:w="120" w:type="dxa"/>
            </w:tcMar>
          </w:tcPr>
          <w:p>
            <w:pPr>
              <w:spacing w:before="0" w:after="0" w:line="252" w:lineRule="auto"/>
            </w:pPr>
            <w:r>
              <w:rPr>
                <w:rFonts w:ascii="Calibri" w:hAnsi="Calibri"/>
                <w:b w:val="0"/>
                <w:color w:val="000000"/>
                <w:sz w:val="21"/>
              </w:rPr>
            </w:r>
            <w:r>
              <w:rPr>
                <w:rFonts w:ascii="Calibri" w:hAnsi="Calibri"/>
                <w:b w:val="0"/>
                <w:color w:val="000000"/>
                <w:sz w:val="21"/>
              </w:rPr>
              <w:t>Repository</w:t>
            </w:r>
          </w:p>
        </w:tc>
        <w:tc>
          <w:tcPr>
            <w:tcW w:type="dxa" w:w="7660"/>
            <w:vAlign w:val="top"/>
            <w:tcMar>
              <w:top w:w="80" w:type="dxa"/>
              <w:bottom w:w="80" w:type="dxa"/>
              <w:start w:w="120" w:type="dxa"/>
              <w:end w:w="120" w:type="dxa"/>
            </w:tcMar>
          </w:tcPr>
          <w:p>
            <w:pPr>
              <w:spacing w:before="0" w:after="0" w:line="252" w:lineRule="auto"/>
            </w:pPr>
            <w:r>
              <w:rPr>
                <w:rFonts w:ascii="Calibri" w:hAnsi="Calibri"/>
                <w:b w:val="0"/>
                <w:color w:val="000000"/>
                <w:sz w:val="21"/>
              </w:rPr>
            </w:r>
            <w:r>
              <w:rPr>
                <w:rFonts w:ascii="Calibri" w:hAnsi="Calibri"/>
                <w:b w:val="0"/>
                <w:color w:val="000000"/>
                <w:sz w:val="21"/>
              </w:rPr>
              <w:t>westcoselabs/doopify</w:t>
            </w:r>
          </w:p>
        </w:tc>
      </w:tr>
      <w:tr>
        <w:trPr/>
        <w:tc>
          <w:tcPr>
            <w:tcW w:type="dxa" w:w="1700"/>
            <w:vAlign w:val="top"/>
            <w:shd w:fill="F2F4F7"/>
            <w:tcMar>
              <w:top w:w="80" w:type="dxa"/>
              <w:bottom w:w="80" w:type="dxa"/>
              <w:start w:w="120" w:type="dxa"/>
              <w:end w:w="120" w:type="dxa"/>
            </w:tcMar>
          </w:tcPr>
          <w:p>
            <w:pPr>
              <w:spacing w:before="0" w:after="0" w:line="252" w:lineRule="auto"/>
            </w:pPr>
            <w:r>
              <w:rPr>
                <w:rFonts w:ascii="Calibri" w:hAnsi="Calibri"/>
                <w:b w:val="0"/>
                <w:color w:val="000000"/>
                <w:sz w:val="21"/>
              </w:rPr>
            </w:r>
            <w:r>
              <w:rPr>
                <w:rFonts w:ascii="Calibri" w:hAnsi="Calibri"/>
                <w:b w:val="0"/>
                <w:color w:val="000000"/>
                <w:sz w:val="21"/>
              </w:rPr>
              <w:t>Review range</w:t>
            </w:r>
          </w:p>
        </w:tc>
        <w:tc>
          <w:tcPr>
            <w:tcW w:type="dxa" w:w="7660"/>
            <w:vAlign w:val="top"/>
            <w:tcMar>
              <w:top w:w="80" w:type="dxa"/>
              <w:bottom w:w="80" w:type="dxa"/>
              <w:start w:w="120" w:type="dxa"/>
              <w:end w:w="120" w:type="dxa"/>
            </w:tcMar>
          </w:tcPr>
          <w:p>
            <w:pPr>
              <w:spacing w:before="0" w:after="0" w:line="252" w:lineRule="auto"/>
            </w:pPr>
            <w:r>
              <w:rPr>
                <w:rFonts w:ascii="Calibri" w:hAnsi="Calibri"/>
                <w:b w:val="0"/>
                <w:color w:val="000000"/>
                <w:sz w:val="21"/>
              </w:rPr>
            </w:r>
            <w:r>
              <w:rPr>
                <w:rFonts w:ascii="Calibri" w:hAnsi="Calibri"/>
                <w:b w:val="0"/>
                <w:color w:val="000000"/>
                <w:sz w:val="21"/>
              </w:rPr>
              <w:t>0227932e910e97bafac5d37736c115e83d2a770c..0f6a6c1f2c07572dc9bb2c9c538f4db63e6aad64</w:t>
            </w:r>
          </w:p>
        </w:tc>
      </w:tr>
      <w:tr>
        <w:trPr/>
        <w:tc>
          <w:tcPr>
            <w:tcW w:type="dxa" w:w="1700"/>
            <w:vAlign w:val="top"/>
            <w:shd w:fill="F2F4F7"/>
            <w:tcMar>
              <w:top w:w="80" w:type="dxa"/>
              <w:bottom w:w="80" w:type="dxa"/>
              <w:start w:w="120" w:type="dxa"/>
              <w:end w:w="120" w:type="dxa"/>
            </w:tcMar>
          </w:tcPr>
          <w:p>
            <w:pPr>
              <w:spacing w:before="0" w:after="0" w:line="252" w:lineRule="auto"/>
            </w:pPr>
            <w:r>
              <w:rPr>
                <w:rFonts w:ascii="Calibri" w:hAnsi="Calibri"/>
                <w:b w:val="0"/>
                <w:color w:val="000000"/>
                <w:sz w:val="21"/>
              </w:rPr>
            </w:r>
            <w:r>
              <w:rPr>
                <w:rFonts w:ascii="Calibri" w:hAnsi="Calibri"/>
                <w:b w:val="0"/>
                <w:color w:val="000000"/>
                <w:sz w:val="21"/>
              </w:rPr>
              <w:t>Final verdict</w:t>
            </w:r>
          </w:p>
        </w:tc>
        <w:tc>
          <w:tcPr>
            <w:tcW w:type="dxa" w:w="7660"/>
            <w:vAlign w:val="top"/>
            <w:tcMar>
              <w:top w:w="80" w:type="dxa"/>
              <w:bottom w:w="80" w:type="dxa"/>
              <w:start w:w="120" w:type="dxa"/>
              <w:end w:w="120" w:type="dxa"/>
            </w:tcMar>
          </w:tcPr>
          <w:p>
            <w:pPr>
              <w:spacing w:before="0" w:after="0" w:line="252" w:lineRule="auto"/>
            </w:pPr>
            <w:r>
              <w:rPr>
                <w:rFonts w:ascii="Calibri" w:hAnsi="Calibri"/>
                <w:b w:val="0"/>
                <w:color w:val="000000"/>
                <w:sz w:val="21"/>
              </w:rPr>
            </w:r>
            <w:r>
              <w:rPr>
                <w:rFonts w:ascii="Calibri" w:hAnsi="Calibri"/>
                <w:b w:val="0"/>
                <w:color w:val="000000"/>
                <w:sz w:val="21"/>
              </w:rPr>
              <w:t>Unsafe to merge</w:t>
            </w:r>
          </w:p>
        </w:tc>
      </w:tr>
      <w:tr>
        <w:trPr/>
        <w:tc>
          <w:tcPr>
            <w:tcW w:type="dxa" w:w="1700"/>
            <w:vAlign w:val="top"/>
            <w:shd w:fill="F2F4F7"/>
            <w:tcMar>
              <w:top w:w="80" w:type="dxa"/>
              <w:bottom w:w="80" w:type="dxa"/>
              <w:start w:w="120" w:type="dxa"/>
              <w:end w:w="120" w:type="dxa"/>
            </w:tcMar>
          </w:tcPr>
          <w:p>
            <w:pPr>
              <w:spacing w:before="0" w:after="0" w:line="252" w:lineRule="auto"/>
            </w:pPr>
            <w:r>
              <w:rPr>
                <w:rFonts w:ascii="Calibri" w:hAnsi="Calibri"/>
                <w:b w:val="0"/>
                <w:color w:val="000000"/>
                <w:sz w:val="21"/>
              </w:rPr>
            </w:r>
            <w:r>
              <w:rPr>
                <w:rFonts w:ascii="Calibri" w:hAnsi="Calibri"/>
                <w:b w:val="0"/>
                <w:color w:val="000000"/>
                <w:sz w:val="21"/>
              </w:rPr>
              <w:t>Date</w:t>
            </w:r>
          </w:p>
        </w:tc>
        <w:tc>
          <w:tcPr>
            <w:tcW w:type="dxa" w:w="7660"/>
            <w:vAlign w:val="top"/>
            <w:tcMar>
              <w:top w:w="80" w:type="dxa"/>
              <w:bottom w:w="80" w:type="dxa"/>
              <w:start w:w="120" w:type="dxa"/>
              <w:end w:w="120" w:type="dxa"/>
            </w:tcMar>
          </w:tcPr>
          <w:p>
            <w:pPr>
              <w:spacing w:before="0" w:after="0" w:line="252" w:lineRule="auto"/>
            </w:pPr>
            <w:r>
              <w:rPr>
                <w:rFonts w:ascii="Calibri" w:hAnsi="Calibri"/>
                <w:b w:val="0"/>
                <w:color w:val="000000"/>
                <w:sz w:val="21"/>
              </w:rPr>
            </w:r>
            <w:r>
              <w:rPr>
                <w:rFonts w:ascii="Calibri" w:hAnsi="Calibri"/>
                <w:b w:val="0"/>
                <w:color w:val="000000"/>
                <w:sz w:val="21"/>
              </w:rPr>
              <w:t>July 14, 2026</w:t>
            </w:r>
          </w:p>
        </w:tc>
      </w:tr>
      <w:tr>
        <w:trPr/>
        <w:tc>
          <w:tcPr>
            <w:tcW w:type="dxa" w:w="1700"/>
            <w:vAlign w:val="top"/>
            <w:shd w:fill="F2F4F7"/>
            <w:tcMar>
              <w:top w:w="80" w:type="dxa"/>
              <w:bottom w:w="80" w:type="dxa"/>
              <w:start w:w="120" w:type="dxa"/>
              <w:end w:w="120" w:type="dxa"/>
            </w:tcMar>
          </w:tcPr>
          <w:p>
            <w:pPr>
              <w:spacing w:before="0" w:after="0" w:line="252" w:lineRule="auto"/>
            </w:pPr>
            <w:r>
              <w:rPr>
                <w:rFonts w:ascii="Calibri" w:hAnsi="Calibri"/>
                <w:b w:val="0"/>
                <w:color w:val="000000"/>
                <w:sz w:val="21"/>
              </w:rPr>
            </w:r>
            <w:r>
              <w:rPr>
                <w:rFonts w:ascii="Calibri" w:hAnsi="Calibri"/>
                <w:b w:val="0"/>
                <w:color w:val="000000"/>
                <w:sz w:val="21"/>
              </w:rPr>
              <w:t>Scope</w:t>
            </w:r>
          </w:p>
        </w:tc>
        <w:tc>
          <w:tcPr>
            <w:tcW w:type="dxa" w:w="7660"/>
            <w:vAlign w:val="top"/>
            <w:tcMar>
              <w:top w:w="80" w:type="dxa"/>
              <w:bottom w:w="80" w:type="dxa"/>
              <w:start w:w="120" w:type="dxa"/>
              <w:end w:w="120" w:type="dxa"/>
            </w:tcMar>
          </w:tcPr>
          <w:p>
            <w:pPr>
              <w:spacing w:before="0" w:after="0" w:line="252" w:lineRule="auto"/>
            </w:pPr>
            <w:r>
              <w:rPr>
                <w:rFonts w:ascii="Calibri" w:hAnsi="Calibri"/>
                <w:b w:val="0"/>
                <w:color w:val="000000"/>
                <w:sz w:val="21"/>
              </w:rPr>
            </w:r>
            <w:r>
              <w:rPr>
                <w:rFonts w:ascii="Calibri" w:hAnsi="Calibri"/>
                <w:b w:val="0"/>
                <w:color w:val="000000"/>
                <w:sz w:val="21"/>
              </w:rPr>
              <w:t>verdict.md, PLAN.md, Terra report, current source, migrations, scripts, runbooks, lint, typecheck, unit tests, coverage, build, diff check</w:t>
            </w:r>
          </w:p>
        </w:tc>
      </w:tr>
    </w:tbl>
    <w:p>
      <w:pPr>
        <w:pStyle w:val="Heading1"/>
        <w:keepNext/>
        <w:spacing w:before="280" w:after="120" w:line="252" w:lineRule="auto"/>
      </w:pPr>
      <w:r>
        <w:rPr>
          <w:rFonts w:ascii="Calibri" w:hAnsi="Calibri"/>
          <w:b/>
          <w:color w:val="2E74B5"/>
          <w:sz w:val="32"/>
        </w:rPr>
        <w:t>Executive Summary</w:t>
      </w:r>
    </w:p>
    <w:p>
      <w:pPr>
        <w:keepNext w:val="0"/>
        <w:spacing w:before="0" w:after="120" w:line="276" w:lineRule="auto"/>
      </w:pPr>
      <w:r>
        <w:rPr>
          <w:rFonts w:ascii="Calibri" w:hAnsi="Calibri"/>
          <w:color w:val="000000"/>
          <w:sz w:val="22"/>
        </w:rPr>
        <w:t>Final verdict: Unsafe to merge. The branch closes a large amount of the prior remediation, but it still leaves two deployment blockers in the session-migration path: the safe deploy wrapper can delete active sessions after preflight, and the fresh-database check can misclassify partially initialized schemas. The review also found that the migration-validation evidence is stronger than before but still not sufficient to prove the real deployment path is safe.</w:t>
      </w:r>
    </w:p>
    <w:p>
      <w:pPr>
        <w:keepNext w:val="0"/>
        <w:spacing w:before="0" w:after="120" w:line="276" w:lineRule="auto"/>
      </w:pPr>
      <w:r>
        <w:rPr>
          <w:rFonts w:ascii="Calibri" w:hAnsi="Calibri"/>
          <w:color w:val="000000"/>
          <w:sz w:val="22"/>
        </w:rPr>
        <w:t>The product-side behavior is mostly in good shape: provider verification preserves prior state on retryable failures, saved-versus-candidate key behavior is correct, checkout capability tokens stay out of URLs, POST-based status polling is in place, and the checkout/webhook truth model is still sound. The remaining risk is concentrated in deployment safety, validation realism, drawer reload-state handling, and a few documentation/test-quality gaps.</w:t>
      </w:r>
    </w:p>
    <w:p>
      <w:pPr>
        <w:keepNext w:val="0"/>
        <w:spacing w:before="0" w:after="120" w:line="276" w:lineRule="auto"/>
      </w:pPr>
      <w:r>
        <w:rPr>
          <w:rFonts w:ascii="Calibri" w:hAnsi="Calibri"/>
          <w:color w:val="000000"/>
          <w:sz w:val="22"/>
        </w:rPr>
        <w:t>Locally safe gates passed: repo hygiene, DB generation, lint, typecheck, unit tests, coverage, build, and diff check. The disposable PostgreSQL migration run started but stalled before producing a final result, and integration/E2E were not independently rerun after that stall, so the report does not treat Terra's claimed database-backed validation as independently confirmed.</w:t>
      </w:r>
    </w:p>
    <w:p>
      <w:pPr>
        <w:pStyle w:val="Heading1"/>
        <w:keepNext/>
        <w:spacing w:before="280" w:after="120" w:line="252" w:lineRule="auto"/>
      </w:pPr>
      <w:r>
        <w:rPr>
          <w:rFonts w:ascii="Calibri" w:hAnsi="Calibri"/>
          <w:b/>
          <w:color w:val="2E74B5"/>
          <w:sz w:val="32"/>
        </w:rPr>
        <w:t>Prior Finding Closure</w:t>
      </w:r>
    </w:p>
    <w:tbl>
      <w:tblPr>
        <w:tblStyle w:val="TableGrid"/>
        <w:tblW w:type="dxa" w:w="9360"/>
        <w:jc w:val="left"/>
        <w:tblLayout w:type="fixed"/>
        <w:tblLook w:firstColumn="1" w:firstRow="1" w:lastColumn="0" w:lastRow="0" w:noHBand="0" w:noVBand="1" w:val="04A0"/>
        <w:tblInd w:type="dxa" w:w="120"/>
      </w:tblPr>
      <w:tblGrid>
        <w:gridCol w:w="400"/>
        <w:gridCol w:w="3250"/>
        <w:gridCol w:w="1300"/>
        <w:gridCol w:w="4410"/>
      </w:tblGrid>
      <w:tr>
        <w:trPr/>
        <w:tc>
          <w:tcPr>
            <w:tcW w:type="dxa" w:w="400"/>
            <w:vAlign w:val="top"/>
            <w:shd w:fill="E8EEF5"/>
            <w:tcMar>
              <w:top w:w="80" w:type="dxa"/>
              <w:bottom w:w="80" w:type="dxa"/>
              <w:start w:w="120" w:type="dxa"/>
              <w:end w:w="120" w:type="dxa"/>
            </w:tcMar>
          </w:tcPr>
          <w:p>
            <w:pPr>
              <w:spacing w:before="0" w:after="0" w:line="252" w:lineRule="auto"/>
              <w:jc w:val="center"/>
            </w:pPr>
            <w:r>
              <w:rPr>
                <w:rFonts w:ascii="Calibri" w:hAnsi="Calibri"/>
                <w:b/>
                <w:color w:val="000000"/>
                <w:sz w:val="19"/>
              </w:rPr>
            </w:r>
            <w:r>
              <w:rPr>
                <w:rFonts w:ascii="Calibri" w:hAnsi="Calibri"/>
                <w:b/>
                <w:color w:val="000000"/>
                <w:sz w:val="19"/>
              </w:rPr>
              <w:t>#</w:t>
            </w:r>
          </w:p>
        </w:tc>
        <w:tc>
          <w:tcPr>
            <w:tcW w:type="dxa" w:w="3250"/>
            <w:vAlign w:val="top"/>
            <w:shd w:fill="E8EEF5"/>
            <w:tcMar>
              <w:top w:w="80" w:type="dxa"/>
              <w:bottom w:w="80" w:type="dxa"/>
              <w:start w:w="120" w:type="dxa"/>
              <w:end w:w="120" w:type="dxa"/>
            </w:tcMar>
          </w:tcPr>
          <w:p>
            <w:pPr>
              <w:spacing w:before="0" w:after="0" w:line="252" w:lineRule="auto"/>
              <w:jc w:val="center"/>
            </w:pPr>
            <w:r>
              <w:rPr>
                <w:rFonts w:ascii="Calibri" w:hAnsi="Calibri"/>
                <w:b/>
                <w:color w:val="000000"/>
                <w:sz w:val="19"/>
              </w:rPr>
            </w:r>
            <w:r>
              <w:rPr>
                <w:rFonts w:ascii="Calibri" w:hAnsi="Calibri"/>
                <w:b/>
                <w:color w:val="000000"/>
                <w:sz w:val="19"/>
              </w:rPr>
              <w:t>Finding</w:t>
            </w:r>
          </w:p>
        </w:tc>
        <w:tc>
          <w:tcPr>
            <w:tcW w:type="dxa" w:w="1300"/>
            <w:vAlign w:val="top"/>
            <w:shd w:fill="E8EEF5"/>
            <w:tcMar>
              <w:top w:w="80" w:type="dxa"/>
              <w:bottom w:w="80" w:type="dxa"/>
              <w:start w:w="120" w:type="dxa"/>
              <w:end w:w="120" w:type="dxa"/>
            </w:tcMar>
          </w:tcPr>
          <w:p>
            <w:pPr>
              <w:spacing w:before="0" w:after="0" w:line="252" w:lineRule="auto"/>
              <w:jc w:val="center"/>
            </w:pPr>
            <w:r>
              <w:rPr>
                <w:rFonts w:ascii="Calibri" w:hAnsi="Calibri"/>
                <w:b/>
                <w:color w:val="000000"/>
                <w:sz w:val="19"/>
              </w:rPr>
            </w:r>
            <w:r>
              <w:rPr>
                <w:rFonts w:ascii="Calibri" w:hAnsi="Calibri"/>
                <w:b/>
                <w:color w:val="000000"/>
                <w:sz w:val="19"/>
              </w:rPr>
              <w:t>Status</w:t>
            </w:r>
          </w:p>
        </w:tc>
        <w:tc>
          <w:tcPr>
            <w:tcW w:type="dxa" w:w="4410"/>
            <w:vAlign w:val="top"/>
            <w:shd w:fill="E8EEF5"/>
            <w:tcMar>
              <w:top w:w="80" w:type="dxa"/>
              <w:bottom w:w="80" w:type="dxa"/>
              <w:start w:w="120" w:type="dxa"/>
              <w:end w:w="120" w:type="dxa"/>
            </w:tcMar>
          </w:tcPr>
          <w:p>
            <w:pPr>
              <w:spacing w:before="0" w:after="0" w:line="252" w:lineRule="auto"/>
              <w:jc w:val="center"/>
            </w:pPr>
            <w:r>
              <w:rPr>
                <w:rFonts w:ascii="Calibri" w:hAnsi="Calibri"/>
                <w:b/>
                <w:color w:val="000000"/>
                <w:sz w:val="19"/>
              </w:rPr>
            </w:r>
            <w:r>
              <w:rPr>
                <w:rFonts w:ascii="Calibri" w:hAnsi="Calibri"/>
                <w:b/>
                <w:color w:val="000000"/>
                <w:sz w:val="19"/>
              </w:rPr>
              <w:t>Supporting evidence</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1</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Provider verification failures preserve prior valid state</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Resolved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src/server/services/provider-connection.service.ts:300-435</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2</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Canonical provider record selection</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Partially resolved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src/server/services/provider-integration-resolver.ts:36-77; prisma/migrations/20260714_correct_provider_store_singletons/migration.sql:11-88</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3</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Shippo/EasyPost candidate and saved-key testing</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Resolved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src/components/settings/ShippingSettingsWorkspace.js:730-741; src/server/services/provider-connection.service.ts:1279-1317</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4</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Secret-bearing integration authorization</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Resolved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src/app/api/settings/integrations/route.ts:58,116; src/app/api/settings/integrations/[id]/route.ts:84,101,172</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5</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Checkout capability security</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Resolved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src/app/(storefront)/checkout/CheckoutClientPage.tsx:917-920; src/app/api/checkout/create/route.ts:28-29</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6</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Legacy checkout compatibility expiration</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Resolved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src/server/services/checkout.service.ts:1102-1137</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7</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Checkout idempotency and abuse controls</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Resolved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src/app/api/checkout/create/route.ts:52-63; src/server/services/checkout.service.ts:765,842-869</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8</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Session-token migration safety</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Unresolved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scripts/migration-deployment-preflight.mjs:23; scripts/safe-migrate-deploy.mjs:33-71; prisma/migrations/20260710_hash_persisted_sessions/migration.sql:4</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9</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Encryption versioning and rotation</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Resolved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src/server/utils/crypto.ts:54-62,105-116; scripts/reencrypt-secrets.mjs:107-119</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10</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Canonical provider status contract and UI</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Partially resolved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src/server/services/provider-connection.service.ts:448-475; src/components/settings/ShippingSettingsWorkspace.js:730-752,981-990,1827-1901</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11</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Drawer accessibility and UX</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Regressed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src/components/admin/ui/AdminDrawer.tsx:390; react-doctor false positive noted during triage</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12</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Dashboard provider scoping</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Resolved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src/components/dashboard/DashboardRouteProviders.js:15-31; browser request-fan-out E2E trace in tests/e2e/shipping-saved-key-retest.spec.ts:202-255</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13</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Repository hygiene</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Resolved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scripts/check-repository-hygiene.mjs:35; command uses git-tracked files only</w:t>
            </w:r>
          </w:p>
        </w:tc>
      </w:tr>
      <w:tr>
        <w:trPr/>
        <w:tc>
          <w:tcPr>
            <w:tcW w:type="dxa" w:w="4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14</w:t>
            </w:r>
          </w:p>
        </w:tc>
        <w:tc>
          <w:tcPr>
            <w:tcW w:type="dxa" w:w="32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Release gates</w:t>
            </w:r>
          </w:p>
        </w:tc>
        <w:tc>
          <w:tcPr>
            <w:tcW w:type="dxa" w:w="13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Partially resolved</w:t>
            </w:r>
          </w:p>
        </w:tc>
        <w:tc>
          <w:tcPr>
            <w:tcW w:type="dxa" w:w="44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npm run repo:check, npm run db:generate, npm run lint, npx tsc --noEmit, npm run test, npm run test:coverage, npm run build, git diff --check</w:t>
            </w:r>
          </w:p>
        </w:tc>
      </w:tr>
    </w:tbl>
    <w:p>
      <w:pPr>
        <w:keepNext w:val="0"/>
        <w:spacing w:before="0" w:after="120" w:line="276" w:lineRule="auto"/>
      </w:pPr>
      <w:r>
        <w:rPr>
          <w:rFonts w:ascii="Calibri" w:hAnsi="Calibri"/>
          <w:color w:val="000000"/>
          <w:sz w:val="22"/>
        </w:rPr>
        <w:t>Notes: the closure table reflects the final independent read-only review outcome, not Terra's self-reported validation. Where the evidence is intentionally terse, the surrounding sections below give the operational context and exact risk statement.</w:t>
      </w:r>
    </w:p>
    <w:p>
      <w:pPr>
        <w:pStyle w:val="Heading1"/>
        <w:keepNext/>
        <w:spacing w:before="280" w:after="120" w:line="252" w:lineRule="auto"/>
      </w:pPr>
      <w:r>
        <w:rPr>
          <w:rFonts w:ascii="Calibri" w:hAnsi="Calibri"/>
          <w:b/>
          <w:color w:val="2E74B5"/>
          <w:sz w:val="32"/>
        </w:rPr>
        <w:t>New Findings</w:t>
      </w:r>
    </w:p>
    <w:p>
      <w:pPr>
        <w:pStyle w:val="Heading2"/>
        <w:keepNext/>
        <w:spacing w:before="160" w:after="80" w:line="252" w:lineRule="auto"/>
      </w:pPr>
      <w:r>
        <w:rPr>
          <w:rFonts w:ascii="Calibri" w:hAnsi="Calibri"/>
          <w:b/>
          <w:color w:val="2E74B5"/>
          <w:sz w:val="26"/>
        </w:rPr>
        <w:t>High</w:t>
      </w:r>
    </w:p>
    <w:p>
      <w:pPr>
        <w:keepNext/>
        <w:spacing w:before="120" w:after="60" w:line="252" w:lineRule="auto"/>
      </w:pPr>
      <w:r>
        <w:rPr>
          <w:rFonts w:ascii="Calibri" w:hAnsi="Calibri"/>
          <w:b/>
          <w:color w:val="1F4D78"/>
          <w:sz w:val="23"/>
        </w:rPr>
        <w:t>1. Safe migration deploy still has a session-deletion race</w:t>
      </w:r>
    </w:p>
    <w:p>
      <w:pPr>
        <w:keepNext w:val="0"/>
        <w:spacing w:before="0" w:after="80" w:line="264" w:lineRule="auto"/>
      </w:pPr>
      <w:r>
        <w:rPr>
          <w:rFonts w:ascii="Calibri" w:hAnsi="Calibri"/>
          <w:b/>
          <w:color w:val="000000"/>
          <w:sz w:val="22"/>
        </w:rPr>
        <w:t xml:space="preserve">File/line: </w:t>
      </w:r>
      <w:r>
        <w:rPr>
          <w:rFonts w:ascii="Calibri" w:hAnsi="Calibri"/>
          <w:color w:val="000000"/>
          <w:sz w:val="22"/>
        </w:rPr>
        <w:t>scripts/migration-deployment-preflight.mjs:23; scripts/safe-migrate-deploy.mjs:33-71; prisma/migrations/20260710_hash_persisted_sessions/migration.sql:4</w:t>
      </w:r>
    </w:p>
    <w:p>
      <w:pPr>
        <w:keepNext w:val="0"/>
        <w:spacing w:before="0" w:after="80" w:line="264" w:lineRule="auto"/>
      </w:pPr>
      <w:r>
        <w:rPr>
          <w:rFonts w:ascii="Calibri" w:hAnsi="Calibri"/>
          <w:b/>
          <w:color w:val="000000"/>
          <w:sz w:val="22"/>
        </w:rPr>
        <w:t xml:space="preserve">Problem: </w:t>
      </w:r>
      <w:r>
        <w:rPr>
          <w:rFonts w:ascii="Calibri" w:hAnsi="Calibri"/>
          <w:color w:val="000000"/>
          <w:sz w:val="22"/>
        </w:rPr>
        <w:t>The wrapper checks for pending destructive session migration, then invokes Prisma deploy in a separate process. A session created after preflight but before deploy can still be deleted by the migration.</w:t>
      </w:r>
    </w:p>
    <w:p>
      <w:pPr>
        <w:keepNext w:val="0"/>
        <w:spacing w:before="0" w:after="80" w:line="264" w:lineRule="auto"/>
      </w:pPr>
      <w:r>
        <w:rPr>
          <w:rFonts w:ascii="Calibri" w:hAnsi="Calibri"/>
          <w:b/>
          <w:color w:val="000000"/>
          <w:sz w:val="22"/>
        </w:rPr>
        <w:t xml:space="preserve">Evidence: </w:t>
      </w:r>
      <w:r>
        <w:rPr>
          <w:rFonts w:ascii="Calibri" w:hAnsi="Calibri"/>
          <w:color w:val="000000"/>
          <w:sz w:val="22"/>
        </w:rPr>
        <w:t>The preflight only fails when the pending migration and an existing session count both exist at the moment of the check. The actual migration still contains DELETE FROM "sessions".</w:t>
      </w:r>
    </w:p>
    <w:p>
      <w:pPr>
        <w:keepNext w:val="0"/>
        <w:spacing w:before="0" w:after="80" w:line="264" w:lineRule="auto"/>
      </w:pPr>
      <w:r>
        <w:rPr>
          <w:rFonts w:ascii="Calibri" w:hAnsi="Calibri"/>
          <w:b/>
          <w:color w:val="000000"/>
          <w:sz w:val="22"/>
        </w:rPr>
        <w:t xml:space="preserve">Impact: </w:t>
      </w:r>
      <w:r>
        <w:rPr>
          <w:rFonts w:ascii="Calibri" w:hAnsi="Calibri"/>
          <w:color w:val="000000"/>
          <w:sz w:val="22"/>
        </w:rPr>
        <w:t>An otherwise healthy deployment can silently revoke active owner, admin, and staff sessions.</w:t>
      </w:r>
    </w:p>
    <w:p>
      <w:pPr>
        <w:keepNext w:val="0"/>
        <w:spacing w:before="0" w:after="80" w:line="264" w:lineRule="auto"/>
      </w:pPr>
      <w:r>
        <w:rPr>
          <w:rFonts w:ascii="Calibri" w:hAnsi="Calibri"/>
          <w:b/>
          <w:color w:val="000000"/>
          <w:sz w:val="22"/>
        </w:rPr>
        <w:t xml:space="preserve">Exact correction: </w:t>
      </w:r>
      <w:r>
        <w:rPr>
          <w:rFonts w:ascii="Calibri" w:hAnsi="Calibri"/>
          <w:color w:val="000000"/>
          <w:sz w:val="22"/>
        </w:rPr>
        <w:t>Fail closed on any existing database when the destructive session migration is pending unless an explicit reviewed Prisma history resolution already marks it applied. Do not rely on a two-step snapshot check.</w:t>
      </w:r>
    </w:p>
    <w:p>
      <w:pPr>
        <w:keepNext w:val="0"/>
        <w:spacing w:before="0" w:after="80" w:line="264" w:lineRule="auto"/>
      </w:pPr>
      <w:r>
        <w:rPr>
          <w:rFonts w:ascii="Calibri" w:hAnsi="Calibri"/>
          <w:b/>
          <w:color w:val="000000"/>
          <w:sz w:val="22"/>
        </w:rPr>
        <w:t xml:space="preserve">Required regression test: </w:t>
      </w:r>
      <w:r>
        <w:rPr>
          <w:rFonts w:ascii="Calibri" w:hAnsi="Calibri"/>
          <w:color w:val="000000"/>
          <w:sz w:val="22"/>
        </w:rPr>
        <w:t>A disposable PostgreSQL test that creates a session after preflight but before deploy and expects the deploy path to refuse the migration instead of deleting the session.</w:t>
      </w:r>
    </w:p>
    <w:p>
      <w:pPr>
        <w:keepNext/>
        <w:spacing w:before="120" w:after="60" w:line="252" w:lineRule="auto"/>
      </w:pPr>
      <w:r>
        <w:rPr>
          <w:rFonts w:ascii="Calibri" w:hAnsi="Calibri"/>
          <w:b/>
          <w:color w:val="1F4D78"/>
          <w:sz w:val="23"/>
        </w:rPr>
        <w:t>2. Fresh-database detection can misclassify partially initialized schemas</w:t>
      </w:r>
    </w:p>
    <w:p>
      <w:pPr>
        <w:keepNext w:val="0"/>
        <w:spacing w:before="0" w:after="80" w:line="264" w:lineRule="auto"/>
      </w:pPr>
      <w:r>
        <w:rPr>
          <w:rFonts w:ascii="Calibri" w:hAnsi="Calibri"/>
          <w:b/>
          <w:color w:val="000000"/>
          <w:sz w:val="22"/>
        </w:rPr>
        <w:t xml:space="preserve">File/line: </w:t>
      </w:r>
      <w:r>
        <w:rPr>
          <w:rFonts w:ascii="Calibri" w:hAnsi="Calibri"/>
          <w:color w:val="000000"/>
          <w:sz w:val="22"/>
        </w:rPr>
        <w:t>scripts/safe-migrate-deploy.mjs:33-43,57-66</w:t>
      </w:r>
    </w:p>
    <w:p>
      <w:pPr>
        <w:keepNext w:val="0"/>
        <w:spacing w:before="0" w:after="80" w:line="264" w:lineRule="auto"/>
      </w:pPr>
      <w:r>
        <w:rPr>
          <w:rFonts w:ascii="Calibri" w:hAnsi="Calibri"/>
          <w:b/>
          <w:color w:val="000000"/>
          <w:sz w:val="22"/>
        </w:rPr>
        <w:t xml:space="preserve">Problem: </w:t>
      </w:r>
      <w:r>
        <w:rPr>
          <w:rFonts w:ascii="Calibri" w:hAnsi="Calibri"/>
          <w:color w:val="000000"/>
          <w:sz w:val="22"/>
        </w:rPr>
        <w:t>The script decides a database is fresh by checking only four table names. If those tables are absent for any other reason, it can take the db push path and apply destructive synchronization behavior.</w:t>
      </w:r>
    </w:p>
    <w:p>
      <w:pPr>
        <w:keepNext w:val="0"/>
        <w:spacing w:before="0" w:after="80" w:line="264" w:lineRule="auto"/>
      </w:pPr>
      <w:r>
        <w:rPr>
          <w:rFonts w:ascii="Calibri" w:hAnsi="Calibri"/>
          <w:b/>
          <w:color w:val="000000"/>
          <w:sz w:val="22"/>
        </w:rPr>
        <w:t xml:space="preserve">Evidence: </w:t>
      </w:r>
      <w:r>
        <w:rPr>
          <w:rFonts w:ascii="Calibri" w:hAnsi="Calibri"/>
          <w:color w:val="000000"/>
          <w:sz w:val="22"/>
        </w:rPr>
        <w:t>The detection is name-based, not migration-history-based or schema-completeness-based.</w:t>
      </w:r>
    </w:p>
    <w:p>
      <w:pPr>
        <w:keepNext w:val="0"/>
        <w:spacing w:before="0" w:after="80" w:line="264" w:lineRule="auto"/>
      </w:pPr>
      <w:r>
        <w:rPr>
          <w:rFonts w:ascii="Calibri" w:hAnsi="Calibri"/>
          <w:b/>
          <w:color w:val="000000"/>
          <w:sz w:val="22"/>
        </w:rPr>
        <w:t xml:space="preserve">Impact: </w:t>
      </w:r>
      <w:r>
        <w:rPr>
          <w:rFonts w:ascii="Calibri" w:hAnsi="Calibri"/>
          <w:color w:val="000000"/>
          <w:sz w:val="22"/>
        </w:rPr>
        <w:t>An existing but incomplete or out-of-order schema could be treated as disposable and changed destructively.</w:t>
      </w:r>
    </w:p>
    <w:p>
      <w:pPr>
        <w:keepNext w:val="0"/>
        <w:spacing w:before="0" w:after="80" w:line="264" w:lineRule="auto"/>
      </w:pPr>
      <w:r>
        <w:rPr>
          <w:rFonts w:ascii="Calibri" w:hAnsi="Calibri"/>
          <w:b/>
          <w:color w:val="000000"/>
          <w:sz w:val="22"/>
        </w:rPr>
        <w:t xml:space="preserve">Exact correction: </w:t>
      </w:r>
      <w:r>
        <w:rPr>
          <w:rFonts w:ascii="Calibri" w:hAnsi="Calibri"/>
          <w:color w:val="000000"/>
          <w:sz w:val="22"/>
        </w:rPr>
        <w:t>Use migration-history state, not a handful of tables, to decide whether to run a fresh bootstrap path. Unknown existing schemas should fail closed.</w:t>
      </w:r>
    </w:p>
    <w:p>
      <w:pPr>
        <w:keepNext w:val="0"/>
        <w:spacing w:before="0" w:after="80" w:line="264" w:lineRule="auto"/>
      </w:pPr>
      <w:r>
        <w:rPr>
          <w:rFonts w:ascii="Calibri" w:hAnsi="Calibri"/>
          <w:b/>
          <w:color w:val="000000"/>
          <w:sz w:val="22"/>
        </w:rPr>
        <w:t xml:space="preserve">Required regression test: </w:t>
      </w:r>
      <w:r>
        <w:rPr>
          <w:rFonts w:ascii="Calibri" w:hAnsi="Calibri"/>
          <w:color w:val="000000"/>
          <w:sz w:val="22"/>
        </w:rPr>
        <w:t>Disposable PostgreSQL fixtures for truly fresh, partially migrated, and already-applied histories, with the partial case refusing the bootstrap path.</w:t>
      </w:r>
    </w:p>
    <w:p>
      <w:pPr>
        <w:keepNext/>
        <w:spacing w:before="120" w:after="60" w:line="252" w:lineRule="auto"/>
      </w:pPr>
      <w:r>
        <w:rPr>
          <w:rFonts w:ascii="Calibri" w:hAnsi="Calibri"/>
          <w:b/>
          <w:color w:val="1F4D78"/>
          <w:sz w:val="23"/>
        </w:rPr>
        <w:t>3. Migration validation evidence is not yet enough to prove the real deploy path</w:t>
      </w:r>
    </w:p>
    <w:p>
      <w:pPr>
        <w:keepNext w:val="0"/>
        <w:spacing w:before="0" w:after="80" w:line="264" w:lineRule="auto"/>
      </w:pPr>
      <w:r>
        <w:rPr>
          <w:rFonts w:ascii="Calibri" w:hAnsi="Calibri"/>
          <w:b/>
          <w:color w:val="000000"/>
          <w:sz w:val="22"/>
        </w:rPr>
        <w:t xml:space="preserve">File/line: </w:t>
      </w:r>
      <w:r>
        <w:rPr>
          <w:rFonts w:ascii="Calibri" w:hAnsi="Calibri"/>
          <w:color w:val="000000"/>
          <w:sz w:val="22"/>
        </w:rPr>
        <w:t>scripts/validate-remediation-migrations.mjs:95-109,153</w:t>
      </w:r>
    </w:p>
    <w:p>
      <w:pPr>
        <w:keepNext w:val="0"/>
        <w:spacing w:before="0" w:after="80" w:line="264" w:lineRule="auto"/>
      </w:pPr>
      <w:r>
        <w:rPr>
          <w:rFonts w:ascii="Calibri" w:hAnsi="Calibri"/>
          <w:b/>
          <w:color w:val="000000"/>
          <w:sz w:val="22"/>
        </w:rPr>
        <w:t xml:space="preserve">Problem: </w:t>
      </w:r>
      <w:r>
        <w:rPr>
          <w:rFonts w:ascii="Calibri" w:hAnsi="Calibri"/>
          <w:color w:val="000000"/>
          <w:sz w:val="22"/>
        </w:rPr>
        <w:t>The validator deletes the migration row and then evaluates the result, but it does not prove the exact safe-deploy wrapper behaves correctly end to end. The corrective provider-store SQL also gets executed directly after manual setup rather than through the same operational path the runbook uses.</w:t>
      </w:r>
    </w:p>
    <w:p>
      <w:pPr>
        <w:keepNext w:val="0"/>
        <w:spacing w:before="0" w:after="80" w:line="264" w:lineRule="auto"/>
      </w:pPr>
      <w:r>
        <w:rPr>
          <w:rFonts w:ascii="Calibri" w:hAnsi="Calibri"/>
          <w:b/>
          <w:color w:val="000000"/>
          <w:sz w:val="22"/>
        </w:rPr>
        <w:t xml:space="preserve">Evidence: </w:t>
      </w:r>
      <w:r>
        <w:rPr>
          <w:rFonts w:ascii="Calibri" w:hAnsi="Calibri"/>
          <w:color w:val="000000"/>
          <w:sz w:val="22"/>
        </w:rPr>
        <w:t>The script performs real PostgreSQL work, but it short-circuits the deployment wrapper instead of exercising the complete deployment flow under the same preflight semantics.</w:t>
      </w:r>
    </w:p>
    <w:p>
      <w:pPr>
        <w:keepNext w:val="0"/>
        <w:spacing w:before="0" w:after="80" w:line="264" w:lineRule="auto"/>
      </w:pPr>
      <w:r>
        <w:rPr>
          <w:rFonts w:ascii="Calibri" w:hAnsi="Calibri"/>
          <w:b/>
          <w:color w:val="000000"/>
          <w:sz w:val="22"/>
        </w:rPr>
        <w:t xml:space="preserve">Impact: </w:t>
      </w:r>
      <w:r>
        <w:rPr>
          <w:rFonts w:ascii="Calibri" w:hAnsi="Calibri"/>
          <w:color w:val="000000"/>
          <w:sz w:val="22"/>
        </w:rPr>
        <w:t>A green validation script can overstate safety if the actual deployment wrapper still fails closed or deletes data differently.</w:t>
      </w:r>
    </w:p>
    <w:p>
      <w:pPr>
        <w:keepNext w:val="0"/>
        <w:spacing w:before="0" w:after="80" w:line="264" w:lineRule="auto"/>
      </w:pPr>
      <w:r>
        <w:rPr>
          <w:rFonts w:ascii="Calibri" w:hAnsi="Calibri"/>
          <w:b/>
          <w:color w:val="000000"/>
          <w:sz w:val="22"/>
        </w:rPr>
        <w:t xml:space="preserve">Exact correction: </w:t>
      </w:r>
      <w:r>
        <w:rPr>
          <w:rFonts w:ascii="Calibri" w:hAnsi="Calibri"/>
          <w:color w:val="000000"/>
          <w:sz w:val="22"/>
        </w:rPr>
        <w:t>Add a test that drives the actual safe deploy path against a disposable PostgreSQL database and verifies the resulting rows and indexes.</w:t>
      </w:r>
    </w:p>
    <w:p>
      <w:pPr>
        <w:keepNext w:val="0"/>
        <w:spacing w:before="0" w:after="80" w:line="264" w:lineRule="auto"/>
      </w:pPr>
      <w:r>
        <w:rPr>
          <w:rFonts w:ascii="Calibri" w:hAnsi="Calibri"/>
          <w:b/>
          <w:color w:val="000000"/>
          <w:sz w:val="22"/>
        </w:rPr>
        <w:t xml:space="preserve">Required regression test: </w:t>
      </w:r>
      <w:r>
        <w:rPr>
          <w:rFonts w:ascii="Calibri" w:hAnsi="Calibri"/>
          <w:color w:val="000000"/>
          <w:sz w:val="22"/>
        </w:rPr>
        <w:t>A real-PostgreSQL harness that seeds duplicates, runs the deploy wrapper, and asserts the resulting canonical rows and unique indexes.</w:t>
      </w:r>
    </w:p>
    <w:p>
      <w:pPr>
        <w:pStyle w:val="Heading2"/>
        <w:keepNext/>
        <w:spacing w:before="160" w:after="80" w:line="252" w:lineRule="auto"/>
      </w:pPr>
      <w:r>
        <w:rPr>
          <w:rFonts w:ascii="Calibri" w:hAnsi="Calibri"/>
          <w:b/>
          <w:color w:val="2E74B5"/>
          <w:sz w:val="26"/>
        </w:rPr>
        <w:t>Medium</w:t>
      </w:r>
    </w:p>
    <w:p>
      <w:pPr>
        <w:keepNext/>
        <w:spacing w:before="120" w:after="60" w:line="252" w:lineRule="auto"/>
      </w:pPr>
      <w:r>
        <w:rPr>
          <w:rFonts w:ascii="Calibri" w:hAnsi="Calibri"/>
          <w:b/>
          <w:color w:val="1F4D78"/>
          <w:sz w:val="23"/>
        </w:rPr>
        <w:t>4. Drawer close/reopen can keep stale loading state alive</w:t>
      </w:r>
    </w:p>
    <w:p>
      <w:pPr>
        <w:keepNext w:val="0"/>
        <w:spacing w:before="0" w:after="80" w:line="264" w:lineRule="auto"/>
      </w:pPr>
      <w:r>
        <w:rPr>
          <w:rFonts w:ascii="Calibri" w:hAnsi="Calibri"/>
          <w:b/>
          <w:color w:val="000000"/>
          <w:sz w:val="22"/>
        </w:rPr>
        <w:t xml:space="preserve">File/line: </w:t>
      </w:r>
      <w:r>
        <w:rPr>
          <w:rFonts w:ascii="Calibri" w:hAnsi="Calibri"/>
          <w:color w:val="000000"/>
          <w:sz w:val="22"/>
        </w:rPr>
        <w:t>src/components/settings/ShippingSettingsWorkspace.js:730-752,981-990,1827-1901</w:t>
      </w:r>
    </w:p>
    <w:p>
      <w:pPr>
        <w:keepNext w:val="0"/>
        <w:spacing w:before="0" w:after="80" w:line="264" w:lineRule="auto"/>
      </w:pPr>
      <w:r>
        <w:rPr>
          <w:rFonts w:ascii="Calibri" w:hAnsi="Calibri"/>
          <w:b/>
          <w:color w:val="000000"/>
          <w:sz w:val="22"/>
        </w:rPr>
        <w:t xml:space="preserve">Problem: </w:t>
      </w:r>
      <w:r>
        <w:rPr>
          <w:rFonts w:ascii="Calibri" w:hAnsi="Calibri"/>
          <w:color w:val="000000"/>
          <w:sz w:val="22"/>
        </w:rPr>
        <w:t>The verification flow sets loading on start and refuses to clear it if the request guard becomes stale, but reopening the drawer does not fully reset the state before the next status request starts.</w:t>
      </w:r>
    </w:p>
    <w:p>
      <w:pPr>
        <w:keepNext w:val="0"/>
        <w:spacing w:before="0" w:after="80" w:line="264" w:lineRule="auto"/>
      </w:pPr>
      <w:r>
        <w:rPr>
          <w:rFonts w:ascii="Calibri" w:hAnsi="Calibri"/>
          <w:b/>
          <w:color w:val="000000"/>
          <w:sz w:val="22"/>
        </w:rPr>
        <w:t xml:space="preserve">Evidence: </w:t>
      </w:r>
      <w:r>
        <w:rPr>
          <w:rFonts w:ascii="Calibri" w:hAnsi="Calibri"/>
          <w:color w:val="000000"/>
          <w:sz w:val="22"/>
        </w:rPr>
        <w:t>The close action invalidates the guard, the reopen path does not clear the prior loading flag, and the action button can remain disabled until another canonical refresh path wins.</w:t>
      </w:r>
    </w:p>
    <w:p>
      <w:pPr>
        <w:keepNext w:val="0"/>
        <w:spacing w:before="0" w:after="80" w:line="264" w:lineRule="auto"/>
      </w:pPr>
      <w:r>
        <w:rPr>
          <w:rFonts w:ascii="Calibri" w:hAnsi="Calibri"/>
          <w:b/>
          <w:color w:val="000000"/>
          <w:sz w:val="22"/>
        </w:rPr>
        <w:t xml:space="preserve">Impact: </w:t>
      </w:r>
      <w:r>
        <w:rPr>
          <w:rFonts w:ascii="Calibri" w:hAnsi="Calibri"/>
          <w:color w:val="000000"/>
          <w:sz w:val="22"/>
        </w:rPr>
        <w:t>A user can see stale not-connected-like UI behavior after closing and reopening the drawer, even when the saved key has not changed.</w:t>
      </w:r>
    </w:p>
    <w:p>
      <w:pPr>
        <w:keepNext w:val="0"/>
        <w:spacing w:before="0" w:after="80" w:line="264" w:lineRule="auto"/>
      </w:pPr>
      <w:r>
        <w:rPr>
          <w:rFonts w:ascii="Calibri" w:hAnsi="Calibri"/>
          <w:b/>
          <w:color w:val="000000"/>
          <w:sz w:val="22"/>
        </w:rPr>
        <w:t xml:space="preserve">Exact correction: </w:t>
      </w:r>
      <w:r>
        <w:rPr>
          <w:rFonts w:ascii="Calibri" w:hAnsi="Calibri"/>
          <w:color w:val="000000"/>
          <w:sz w:val="22"/>
        </w:rPr>
        <w:t>Reset the drawer's verification view model on reopen and ensure stale responses cannot preserve a disabled loading state across sessions.</w:t>
      </w:r>
    </w:p>
    <w:p>
      <w:pPr>
        <w:keepNext w:val="0"/>
        <w:spacing w:before="0" w:after="80" w:line="264" w:lineRule="auto"/>
      </w:pPr>
      <w:r>
        <w:rPr>
          <w:rFonts w:ascii="Calibri" w:hAnsi="Calibri"/>
          <w:b/>
          <w:color w:val="000000"/>
          <w:sz w:val="22"/>
        </w:rPr>
        <w:t xml:space="preserve">Required regression test: </w:t>
      </w:r>
      <w:r>
        <w:rPr>
          <w:rFonts w:ascii="Calibri" w:hAnsi="Calibri"/>
          <w:color w:val="000000"/>
          <w:sz w:val="22"/>
        </w:rPr>
        <w:t>An out-of-order request test that closes the drawer mid-request, reopens it, and verifies the final state comes from the canonical refetch only.</w:t>
      </w:r>
    </w:p>
    <w:p>
      <w:pPr>
        <w:keepNext/>
        <w:spacing w:before="120" w:after="60" w:line="252" w:lineRule="auto"/>
      </w:pPr>
      <w:r>
        <w:rPr>
          <w:rFonts w:ascii="Calibri" w:hAnsi="Calibri"/>
          <w:b/>
          <w:color w:val="1F4D78"/>
          <w:sz w:val="23"/>
        </w:rPr>
        <w:t>5. Shippo saved-key E2E does not fully reproduce the original server-side bug</w:t>
      </w:r>
    </w:p>
    <w:p>
      <w:pPr>
        <w:keepNext w:val="0"/>
        <w:spacing w:before="0" w:after="80" w:line="264" w:lineRule="auto"/>
      </w:pPr>
      <w:r>
        <w:rPr>
          <w:rFonts w:ascii="Calibri" w:hAnsi="Calibri"/>
          <w:b/>
          <w:color w:val="000000"/>
          <w:sz w:val="22"/>
        </w:rPr>
        <w:t xml:space="preserve">File/line: </w:t>
      </w:r>
      <w:r>
        <w:rPr>
          <w:rFonts w:ascii="Calibri" w:hAnsi="Calibri"/>
          <w:color w:val="000000"/>
          <w:sz w:val="22"/>
        </w:rPr>
        <w:t>tests/e2e/shipping-saved-key-retest.spec.ts:136-160,202-255</w:t>
      </w:r>
    </w:p>
    <w:p>
      <w:pPr>
        <w:keepNext w:val="0"/>
        <w:spacing w:before="0" w:after="80" w:line="264" w:lineRule="auto"/>
      </w:pPr>
      <w:r>
        <w:rPr>
          <w:rFonts w:ascii="Calibri" w:hAnsi="Calibri"/>
          <w:b/>
          <w:color w:val="000000"/>
          <w:sz w:val="22"/>
        </w:rPr>
        <w:t xml:space="preserve">Problem: </w:t>
      </w:r>
      <w:r>
        <w:rPr>
          <w:rFonts w:ascii="Calibri" w:hAnsi="Calibri"/>
          <w:color w:val="000000"/>
          <w:sz w:val="22"/>
        </w:rPr>
        <w:t>The E2E flow mocks the shipping/setup/provider APIs instead of seeding an encrypted server-side IntegrationSecret and exercising the real decryption/status path.</w:t>
      </w:r>
    </w:p>
    <w:p>
      <w:pPr>
        <w:keepNext w:val="0"/>
        <w:spacing w:before="0" w:after="80" w:line="264" w:lineRule="auto"/>
      </w:pPr>
      <w:r>
        <w:rPr>
          <w:rFonts w:ascii="Calibri" w:hAnsi="Calibri"/>
          <w:b/>
          <w:color w:val="000000"/>
          <w:sz w:val="22"/>
        </w:rPr>
        <w:t xml:space="preserve">Evidence: </w:t>
      </w:r>
      <w:r>
        <w:rPr>
          <w:rFonts w:ascii="Calibri" w:hAnsi="Calibri"/>
          <w:color w:val="000000"/>
          <w:sz w:val="22"/>
        </w:rPr>
        <w:t>The browser requests are observed, but the provider responses are synthetic and the test bypasses the exact saved-key persistence and reload path that regressed originally.</w:t>
      </w:r>
    </w:p>
    <w:p>
      <w:pPr>
        <w:keepNext w:val="0"/>
        <w:spacing w:before="0" w:after="80" w:line="264" w:lineRule="auto"/>
      </w:pPr>
      <w:r>
        <w:rPr>
          <w:rFonts w:ascii="Calibri" w:hAnsi="Calibri"/>
          <w:b/>
          <w:color w:val="000000"/>
          <w:sz w:val="22"/>
        </w:rPr>
        <w:t xml:space="preserve">Impact: </w:t>
      </w:r>
      <w:r>
        <w:rPr>
          <w:rFonts w:ascii="Calibri" w:hAnsi="Calibri"/>
          <w:color w:val="000000"/>
          <w:sz w:val="22"/>
        </w:rPr>
        <w:t>The test can pass even if the true saved-key reload path still flips from Connected to Not connected and back after refresh.</w:t>
      </w:r>
    </w:p>
    <w:p>
      <w:pPr>
        <w:keepNext w:val="0"/>
        <w:spacing w:before="0" w:after="80" w:line="264" w:lineRule="auto"/>
      </w:pPr>
      <w:r>
        <w:rPr>
          <w:rFonts w:ascii="Calibri" w:hAnsi="Calibri"/>
          <w:b/>
          <w:color w:val="000000"/>
          <w:sz w:val="22"/>
        </w:rPr>
        <w:t xml:space="preserve">Exact correction: </w:t>
      </w:r>
      <w:r>
        <w:rPr>
          <w:rFonts w:ascii="Calibri" w:hAnsi="Calibri"/>
          <w:color w:val="000000"/>
          <w:sz w:val="22"/>
        </w:rPr>
        <w:t>Add a real-DB test that saves a key, reloads the page, and verifies the saved encrypted key is used without temporary false-negative status drift.</w:t>
      </w:r>
    </w:p>
    <w:p>
      <w:pPr>
        <w:keepNext w:val="0"/>
        <w:spacing w:before="0" w:after="80" w:line="264" w:lineRule="auto"/>
      </w:pPr>
      <w:r>
        <w:rPr>
          <w:rFonts w:ascii="Calibri" w:hAnsi="Calibri"/>
          <w:b/>
          <w:color w:val="000000"/>
          <w:sz w:val="22"/>
        </w:rPr>
        <w:t xml:space="preserve">Required regression test: </w:t>
      </w:r>
      <w:r>
        <w:rPr>
          <w:rFonts w:ascii="Calibri" w:hAnsi="Calibri"/>
          <w:color w:val="000000"/>
          <w:sz w:val="22"/>
        </w:rPr>
        <w:t>A disposable-PostgreSQL E2E or integration test that persists a saved Shippo key, closes/reopens the drawer, and confirms the status never regresses to Not connected before the canonical refetch completes.</w:t>
      </w:r>
    </w:p>
    <w:p>
      <w:pPr>
        <w:keepNext/>
        <w:spacing w:before="120" w:after="60" w:line="252" w:lineRule="auto"/>
      </w:pPr>
      <w:r>
        <w:rPr>
          <w:rFonts w:ascii="Calibri" w:hAnsi="Calibri"/>
          <w:b/>
          <w:color w:val="1F4D78"/>
          <w:sz w:val="23"/>
        </w:rPr>
        <w:t>6. Integration and Playwright runners can inherit live credentials from the environment</w:t>
      </w:r>
    </w:p>
    <w:p>
      <w:pPr>
        <w:keepNext w:val="0"/>
        <w:spacing w:before="0" w:after="80" w:line="264" w:lineRule="auto"/>
      </w:pPr>
      <w:r>
        <w:rPr>
          <w:rFonts w:ascii="Calibri" w:hAnsi="Calibri"/>
          <w:b/>
          <w:color w:val="000000"/>
          <w:sz w:val="22"/>
        </w:rPr>
        <w:t xml:space="preserve">File/line: </w:t>
      </w:r>
      <w:r>
        <w:rPr>
          <w:rFonts w:ascii="Calibri" w:hAnsi="Calibri"/>
          <w:color w:val="000000"/>
          <w:sz w:val="22"/>
        </w:rPr>
        <w:t>scripts/run-integration-tests.mjs:55-65; playwright.config.mjs:54-70</w:t>
      </w:r>
    </w:p>
    <w:p>
      <w:pPr>
        <w:keepNext w:val="0"/>
        <w:spacing w:before="0" w:after="80" w:line="264" w:lineRule="auto"/>
      </w:pPr>
      <w:r>
        <w:rPr>
          <w:rFonts w:ascii="Calibri" w:hAnsi="Calibri"/>
          <w:b/>
          <w:color w:val="000000"/>
          <w:sz w:val="22"/>
        </w:rPr>
        <w:t xml:space="preserve">Problem: </w:t>
      </w:r>
      <w:r>
        <w:rPr>
          <w:rFonts w:ascii="Calibri" w:hAnsi="Calibri"/>
          <w:color w:val="000000"/>
          <w:sz w:val="22"/>
        </w:rPr>
        <w:t>Both runners spread through existing process environment values and pick up real-looking provider credentials when present.</w:t>
      </w:r>
    </w:p>
    <w:p>
      <w:pPr>
        <w:keepNext w:val="0"/>
        <w:spacing w:before="0" w:after="80" w:line="264" w:lineRule="auto"/>
      </w:pPr>
      <w:r>
        <w:rPr>
          <w:rFonts w:ascii="Calibri" w:hAnsi="Calibri"/>
          <w:b/>
          <w:color w:val="000000"/>
          <w:sz w:val="22"/>
        </w:rPr>
        <w:t xml:space="preserve">Evidence: </w:t>
      </w:r>
      <w:r>
        <w:rPr>
          <w:rFonts w:ascii="Calibri" w:hAnsi="Calibri"/>
          <w:color w:val="000000"/>
          <w:sz w:val="22"/>
        </w:rPr>
        <w:t>The scripts are not hermetically isolated from developer machine or CI credentials.</w:t>
      </w:r>
    </w:p>
    <w:p>
      <w:pPr>
        <w:keepNext w:val="0"/>
        <w:spacing w:before="0" w:after="80" w:line="264" w:lineRule="auto"/>
      </w:pPr>
      <w:r>
        <w:rPr>
          <w:rFonts w:ascii="Calibri" w:hAnsi="Calibri"/>
          <w:b/>
          <w:color w:val="000000"/>
          <w:sz w:val="22"/>
        </w:rPr>
        <w:t xml:space="preserve">Impact: </w:t>
      </w:r>
      <w:r>
        <w:rPr>
          <w:rFonts w:ascii="Calibri" w:hAnsi="Calibri"/>
          <w:color w:val="000000"/>
          <w:sz w:val="22"/>
        </w:rPr>
        <w:t>A test run can accidentally target live Stripe, Shippo, or email infrastructure if sensitive variables are present.</w:t>
      </w:r>
    </w:p>
    <w:p>
      <w:pPr>
        <w:keepNext w:val="0"/>
        <w:spacing w:before="0" w:after="80" w:line="264" w:lineRule="auto"/>
      </w:pPr>
      <w:r>
        <w:rPr>
          <w:rFonts w:ascii="Calibri" w:hAnsi="Calibri"/>
          <w:b/>
          <w:color w:val="000000"/>
          <w:sz w:val="22"/>
        </w:rPr>
        <w:t xml:space="preserve">Exact correction: </w:t>
      </w:r>
      <w:r>
        <w:rPr>
          <w:rFonts w:ascii="Calibri" w:hAnsi="Calibri"/>
          <w:color w:val="000000"/>
          <w:sz w:val="22"/>
        </w:rPr>
        <w:t>Default the test runners to inert stub credentials and require explicit opt-in for any environment that can reach live providers.</w:t>
      </w:r>
    </w:p>
    <w:p>
      <w:pPr>
        <w:keepNext w:val="0"/>
        <w:spacing w:before="0" w:after="80" w:line="264" w:lineRule="auto"/>
      </w:pPr>
      <w:r>
        <w:rPr>
          <w:rFonts w:ascii="Calibri" w:hAnsi="Calibri"/>
          <w:b/>
          <w:color w:val="000000"/>
          <w:sz w:val="22"/>
        </w:rPr>
        <w:t xml:space="preserve">Required regression test: </w:t>
      </w:r>
      <w:r>
        <w:rPr>
          <w:rFonts w:ascii="Calibri" w:hAnsi="Calibri"/>
          <w:color w:val="000000"/>
          <w:sz w:val="22"/>
        </w:rPr>
        <w:t>A test that verifies the runner zeroes or masks external-provider credentials unless an explicit live-integration flag is provided.</w:t>
      </w:r>
    </w:p>
    <w:p>
      <w:pPr>
        <w:keepNext/>
        <w:spacing w:before="120" w:after="60" w:line="252" w:lineRule="auto"/>
      </w:pPr>
      <w:r>
        <w:rPr>
          <w:rFonts w:ascii="Calibri" w:hAnsi="Calibri"/>
          <w:b/>
          <w:color w:val="1F4D78"/>
          <w:sz w:val="23"/>
        </w:rPr>
        <w:t>7. Documentation still contains a rollout-vs-retention contradiction</w:t>
      </w:r>
    </w:p>
    <w:p>
      <w:pPr>
        <w:keepNext w:val="0"/>
        <w:spacing w:before="0" w:after="80" w:line="264" w:lineRule="auto"/>
      </w:pPr>
      <w:r>
        <w:rPr>
          <w:rFonts w:ascii="Calibri" w:hAnsi="Calibri"/>
          <w:b/>
          <w:color w:val="000000"/>
          <w:sz w:val="22"/>
        </w:rPr>
        <w:t xml:space="preserve">File/line: </w:t>
      </w:r>
      <w:r>
        <w:rPr>
          <w:rFonts w:ascii="Calibri" w:hAnsi="Calibri"/>
          <w:color w:val="000000"/>
          <w:sz w:val="22"/>
        </w:rPr>
        <w:t>docs/HARDENING.md:46; src/lib/auth.ts:73-75</w:t>
      </w:r>
    </w:p>
    <w:p>
      <w:pPr>
        <w:keepNext w:val="0"/>
        <w:spacing w:before="0" w:after="80" w:line="264" w:lineRule="auto"/>
      </w:pPr>
      <w:r>
        <w:rPr>
          <w:rFonts w:ascii="Calibri" w:hAnsi="Calibri"/>
          <w:b/>
          <w:color w:val="000000"/>
          <w:sz w:val="22"/>
        </w:rPr>
        <w:t xml:space="preserve">Problem: </w:t>
      </w:r>
      <w:r>
        <w:rPr>
          <w:rFonts w:ascii="Calibri" w:hAnsi="Calibri"/>
          <w:color w:val="000000"/>
          <w:sz w:val="22"/>
        </w:rPr>
        <w:t>One doc section still describes the session-hashing rollout as if legacy sessions are revoked immediately, while the implementation keeps additive compatibility until the documented cutoff.</w:t>
      </w:r>
    </w:p>
    <w:p>
      <w:pPr>
        <w:keepNext w:val="0"/>
        <w:spacing w:before="0" w:after="80" w:line="264" w:lineRule="auto"/>
      </w:pPr>
      <w:r>
        <w:rPr>
          <w:rFonts w:ascii="Calibri" w:hAnsi="Calibri"/>
          <w:b/>
          <w:color w:val="000000"/>
          <w:sz w:val="22"/>
        </w:rPr>
        <w:t xml:space="preserve">Evidence: </w:t>
      </w:r>
      <w:r>
        <w:rPr>
          <w:rFonts w:ascii="Calibri" w:hAnsi="Calibri"/>
          <w:color w:val="000000"/>
          <w:sz w:val="22"/>
        </w:rPr>
        <w:t>The implementation path retains legacy compatibility, but the docs describe a stricter outcome than the code actually provides.</w:t>
      </w:r>
    </w:p>
    <w:p>
      <w:pPr>
        <w:keepNext w:val="0"/>
        <w:spacing w:before="0" w:after="80" w:line="264" w:lineRule="auto"/>
      </w:pPr>
      <w:r>
        <w:rPr>
          <w:rFonts w:ascii="Calibri" w:hAnsi="Calibri"/>
          <w:b/>
          <w:color w:val="000000"/>
          <w:sz w:val="22"/>
        </w:rPr>
        <w:t xml:space="preserve">Impact: </w:t>
      </w:r>
      <w:r>
        <w:rPr>
          <w:rFonts w:ascii="Calibri" w:hAnsi="Calibri"/>
          <w:color w:val="000000"/>
          <w:sz w:val="22"/>
        </w:rPr>
        <w:t>Operators can make the wrong deployment assumption and misread the session migration window.</w:t>
      </w:r>
    </w:p>
    <w:p>
      <w:pPr>
        <w:keepNext w:val="0"/>
        <w:spacing w:before="0" w:after="80" w:line="264" w:lineRule="auto"/>
      </w:pPr>
      <w:r>
        <w:rPr>
          <w:rFonts w:ascii="Calibri" w:hAnsi="Calibri"/>
          <w:b/>
          <w:color w:val="000000"/>
          <w:sz w:val="22"/>
        </w:rPr>
        <w:t xml:space="preserve">Exact correction: </w:t>
      </w:r>
      <w:r>
        <w:rPr>
          <w:rFonts w:ascii="Calibri" w:hAnsi="Calibri"/>
          <w:color w:val="000000"/>
          <w:sz w:val="22"/>
        </w:rPr>
        <w:t>Rewrite the deployment notes to match the additive compatibility window and the actual cutover behavior.</w:t>
      </w:r>
    </w:p>
    <w:p>
      <w:pPr>
        <w:keepNext w:val="0"/>
        <w:spacing w:before="0" w:after="80" w:line="264" w:lineRule="auto"/>
      </w:pPr>
      <w:r>
        <w:rPr>
          <w:rFonts w:ascii="Calibri" w:hAnsi="Calibri"/>
          <w:b/>
          <w:color w:val="000000"/>
          <w:sz w:val="22"/>
        </w:rPr>
        <w:t xml:space="preserve">Required regression test: </w:t>
      </w:r>
      <w:r>
        <w:rPr>
          <w:rFonts w:ascii="Calibri" w:hAnsi="Calibri"/>
          <w:color w:val="000000"/>
          <w:sz w:val="22"/>
        </w:rPr>
        <w:t>A docs check or review checklist that compares the deployed compatibility window language to the live auth code path.</w:t>
      </w:r>
    </w:p>
    <w:p>
      <w:pPr>
        <w:pStyle w:val="Heading2"/>
        <w:keepNext/>
        <w:spacing w:before="160" w:after="80" w:line="252" w:lineRule="auto"/>
      </w:pPr>
      <w:r>
        <w:rPr>
          <w:rFonts w:ascii="Calibri" w:hAnsi="Calibri"/>
          <w:b/>
          <w:color w:val="2E74B5"/>
          <w:sz w:val="26"/>
        </w:rPr>
        <w:t>Low</w:t>
      </w:r>
    </w:p>
    <w:p>
      <w:pPr>
        <w:keepNext/>
        <w:spacing w:before="120" w:after="60" w:line="252" w:lineRule="auto"/>
      </w:pPr>
      <w:r>
        <w:rPr>
          <w:rFonts w:ascii="Calibri" w:hAnsi="Calibri"/>
          <w:b/>
          <w:color w:val="1F4D78"/>
          <w:sz w:val="23"/>
        </w:rPr>
        <w:t>8. One database-route test appears orphaned from the documented release gates</w:t>
      </w:r>
    </w:p>
    <w:p>
      <w:pPr>
        <w:keepNext w:val="0"/>
        <w:spacing w:before="0" w:after="80" w:line="264" w:lineRule="auto"/>
      </w:pPr>
      <w:r>
        <w:rPr>
          <w:rFonts w:ascii="Calibri" w:hAnsi="Calibri"/>
          <w:b/>
          <w:color w:val="000000"/>
          <w:sz w:val="22"/>
        </w:rPr>
        <w:t xml:space="preserve">File/line: </w:t>
      </w:r>
      <w:r>
        <w:rPr>
          <w:rFonts w:ascii="Calibri" w:hAnsi="Calibri"/>
          <w:color w:val="000000"/>
          <w:sz w:val="22"/>
        </w:rPr>
        <w:t>src/app/api/settings/providers/[provider]/credentials/route.db.test.ts:25-28; vitest.integration.config.ts:17</w:t>
      </w:r>
    </w:p>
    <w:p>
      <w:pPr>
        <w:keepNext w:val="0"/>
        <w:spacing w:before="0" w:after="80" w:line="264" w:lineRule="auto"/>
      </w:pPr>
      <w:r>
        <w:rPr>
          <w:rFonts w:ascii="Calibri" w:hAnsi="Calibri"/>
          <w:b/>
          <w:color w:val="000000"/>
          <w:sz w:val="22"/>
        </w:rPr>
        <w:t xml:space="preserve">Problem: </w:t>
      </w:r>
      <w:r>
        <w:rPr>
          <w:rFonts w:ascii="Calibri" w:hAnsi="Calibri"/>
          <w:color w:val="000000"/>
          <w:sz w:val="22"/>
        </w:rPr>
        <w:t>The test skips unless DATABASE_URL equals DATABASE_URL_TEST, but the integration config only includes *.integration.test.ts, so this test is not part of the normal documented gates.</w:t>
      </w:r>
    </w:p>
    <w:p>
      <w:pPr>
        <w:keepNext w:val="0"/>
        <w:spacing w:before="0" w:after="80" w:line="264" w:lineRule="auto"/>
      </w:pPr>
      <w:r>
        <w:rPr>
          <w:rFonts w:ascii="Calibri" w:hAnsi="Calibri"/>
          <w:b/>
          <w:color w:val="000000"/>
          <w:sz w:val="22"/>
        </w:rPr>
        <w:t xml:space="preserve">Evidence: </w:t>
      </w:r>
      <w:r>
        <w:rPr>
          <w:rFonts w:ascii="Calibri" w:hAnsi="Calibri"/>
          <w:color w:val="000000"/>
          <w:sz w:val="22"/>
        </w:rPr>
        <w:t>The file exists, but the configured test runner pattern does not pick it up in the standard integration run.</w:t>
      </w:r>
    </w:p>
    <w:p>
      <w:pPr>
        <w:keepNext w:val="0"/>
        <w:spacing w:before="0" w:after="80" w:line="264" w:lineRule="auto"/>
      </w:pPr>
      <w:r>
        <w:rPr>
          <w:rFonts w:ascii="Calibri" w:hAnsi="Calibri"/>
          <w:b/>
          <w:color w:val="000000"/>
          <w:sz w:val="22"/>
        </w:rPr>
        <w:t xml:space="preserve">Impact: </w:t>
      </w:r>
      <w:r>
        <w:rPr>
          <w:rFonts w:ascii="Calibri" w:hAnsi="Calibri"/>
          <w:color w:val="000000"/>
          <w:sz w:val="22"/>
        </w:rPr>
        <w:t>A real-DB regression can hide behind an unexecuted test file.</w:t>
      </w:r>
    </w:p>
    <w:p>
      <w:pPr>
        <w:keepNext w:val="0"/>
        <w:spacing w:before="0" w:after="80" w:line="264" w:lineRule="auto"/>
      </w:pPr>
      <w:r>
        <w:rPr>
          <w:rFonts w:ascii="Calibri" w:hAnsi="Calibri"/>
          <w:b/>
          <w:color w:val="000000"/>
          <w:sz w:val="22"/>
        </w:rPr>
        <w:t xml:space="preserve">Exact correction: </w:t>
      </w:r>
      <w:r>
        <w:rPr>
          <w:rFonts w:ascii="Calibri" w:hAnsi="Calibri"/>
          <w:color w:val="000000"/>
          <w:sz w:val="22"/>
        </w:rPr>
        <w:t>Move the test into the integration suite or explicitly add it to the documented gate so it runs every time.</w:t>
      </w:r>
    </w:p>
    <w:p>
      <w:pPr>
        <w:keepNext w:val="0"/>
        <w:spacing w:before="0" w:after="80" w:line="264" w:lineRule="auto"/>
      </w:pPr>
      <w:r>
        <w:rPr>
          <w:rFonts w:ascii="Calibri" w:hAnsi="Calibri"/>
          <w:b/>
          <w:color w:val="000000"/>
          <w:sz w:val="22"/>
        </w:rPr>
        <w:t xml:space="preserve">Required regression test: </w:t>
      </w:r>
      <w:r>
        <w:rPr>
          <w:rFonts w:ascii="Calibri" w:hAnsi="Calibri"/>
          <w:color w:val="000000"/>
          <w:sz w:val="22"/>
        </w:rPr>
        <w:t>A gate-level assertion that confirms the file is included in the intended real-PostgreSQL test run.</w:t>
      </w:r>
    </w:p>
    <w:p>
      <w:pPr>
        <w:pStyle w:val="Heading1"/>
        <w:keepNext/>
        <w:spacing w:before="280" w:after="120" w:line="252" w:lineRule="auto"/>
      </w:pPr>
      <w:r>
        <w:rPr>
          <w:rFonts w:ascii="Calibri" w:hAnsi="Calibri"/>
          <w:b/>
          <w:color w:val="2E74B5"/>
          <w:sz w:val="32"/>
        </w:rPr>
        <w:t>Migration Verdict</w:t>
      </w:r>
    </w:p>
    <w:p>
      <w:pPr>
        <w:keepNext/>
        <w:spacing w:before="120" w:after="60" w:line="252" w:lineRule="auto"/>
      </w:pPr>
      <w:r>
        <w:rPr>
          <w:rFonts w:ascii="Calibri" w:hAnsi="Calibri"/>
          <w:b/>
          <w:color w:val="1F4D78"/>
          <w:sz w:val="23"/>
        </w:rPr>
        <w:t>Safe deployment path</w:t>
      </w:r>
    </w:p>
    <w:p>
      <w:pPr>
        <w:keepNext w:val="0"/>
        <w:spacing w:before="0" w:after="80" w:line="264" w:lineRule="auto"/>
      </w:pPr>
      <w:r>
        <w:rPr>
          <w:rFonts w:ascii="Calibri" w:hAnsi="Calibri"/>
          <w:b/>
          <w:color w:val="000000"/>
          <w:sz w:val="22"/>
        </w:rPr>
        <w:t xml:space="preserve">Verdict: </w:t>
      </w:r>
      <w:r>
        <w:rPr>
          <w:rFonts w:ascii="Calibri" w:hAnsi="Calibri"/>
          <w:color w:val="000000"/>
          <w:sz w:val="22"/>
        </w:rPr>
        <w:t>No fully safe deployment path exists yet for the exact branch head.</w:t>
      </w:r>
    </w:p>
    <w:p>
      <w:pPr>
        <w:keepNext w:val="0"/>
        <w:spacing w:before="0" w:after="80" w:line="264" w:lineRule="auto"/>
      </w:pPr>
      <w:r>
        <w:rPr>
          <w:rFonts w:ascii="Calibri" w:hAnsi="Calibri"/>
          <w:b/>
          <w:color w:val="000000"/>
          <w:sz w:val="22"/>
        </w:rPr>
        <w:t xml:space="preserve">Why: </w:t>
      </w:r>
      <w:r>
        <w:rPr>
          <w:rFonts w:ascii="Calibri" w:hAnsi="Calibri"/>
          <w:color w:val="000000"/>
          <w:sz w:val="22"/>
        </w:rPr>
        <w:t>The wrapper still has a TOCTOU deletion race, and the fresh-database path can be chosen on a schema that is not truly fresh.</w:t>
      </w:r>
    </w:p>
    <w:p>
      <w:pPr>
        <w:keepNext/>
        <w:spacing w:before="120" w:after="60" w:line="252" w:lineRule="auto"/>
      </w:pPr>
      <w:r>
        <w:rPr>
          <w:rFonts w:ascii="Calibri" w:hAnsi="Calibri"/>
          <w:b/>
          <w:color w:val="1F4D78"/>
          <w:sz w:val="23"/>
        </w:rPr>
        <w:t>Fresh database behavior</w:t>
      </w:r>
    </w:p>
    <w:p>
      <w:pPr>
        <w:keepNext w:val="0"/>
        <w:spacing w:before="0" w:after="80" w:line="264" w:lineRule="auto"/>
      </w:pPr>
      <w:r>
        <w:rPr>
          <w:rFonts w:ascii="Calibri" w:hAnsi="Calibri"/>
          <w:b/>
          <w:color w:val="000000"/>
          <w:sz w:val="22"/>
        </w:rPr>
        <w:t xml:space="preserve">Assessment: </w:t>
      </w:r>
      <w:r>
        <w:rPr>
          <w:rFonts w:ascii="Calibri" w:hAnsi="Calibri"/>
          <w:color w:val="000000"/>
          <w:sz w:val="22"/>
        </w:rPr>
        <w:t>Only safe if the database is truly empty and the detection logic is correct, which it currently is not.</w:t>
      </w:r>
    </w:p>
    <w:p>
      <w:pPr>
        <w:keepNext w:val="0"/>
        <w:spacing w:before="0" w:after="80" w:line="264" w:lineRule="auto"/>
      </w:pPr>
      <w:r>
        <w:rPr>
          <w:rFonts w:ascii="Calibri" w:hAnsi="Calibri"/>
          <w:b/>
          <w:color w:val="000000"/>
          <w:sz w:val="22"/>
        </w:rPr>
        <w:t xml:space="preserve">Risk: </w:t>
      </w:r>
      <w:r>
        <w:rPr>
          <w:rFonts w:ascii="Calibri" w:hAnsi="Calibri"/>
          <w:color w:val="000000"/>
          <w:sz w:val="22"/>
        </w:rPr>
        <w:t>Name-based detection can misclassify a partially initialized database as fresh.</w:t>
      </w:r>
    </w:p>
    <w:p>
      <w:pPr>
        <w:keepNext/>
        <w:spacing w:before="120" w:after="60" w:line="252" w:lineRule="auto"/>
      </w:pPr>
      <w:r>
        <w:rPr>
          <w:rFonts w:ascii="Calibri" w:hAnsi="Calibri"/>
          <w:b/>
          <w:color w:val="1F4D78"/>
          <w:sz w:val="23"/>
        </w:rPr>
        <w:t>Existing database behavior</w:t>
      </w:r>
    </w:p>
    <w:p>
      <w:pPr>
        <w:keepNext w:val="0"/>
        <w:spacing w:before="0" w:after="80" w:line="264" w:lineRule="auto"/>
      </w:pPr>
      <w:r>
        <w:rPr>
          <w:rFonts w:ascii="Calibri" w:hAnsi="Calibri"/>
          <w:b/>
          <w:color w:val="000000"/>
          <w:sz w:val="22"/>
        </w:rPr>
        <w:t xml:space="preserve">Assessment: </w:t>
      </w:r>
      <w:r>
        <w:rPr>
          <w:rFonts w:ascii="Calibri" w:hAnsi="Calibri"/>
          <w:color w:val="000000"/>
          <w:sz w:val="22"/>
        </w:rPr>
        <w:t>Additive history and the canonical singleton migrations are directionally correct, but the deployment wrapper still needs a fail-closed policy for destructive pending history.</w:t>
      </w:r>
    </w:p>
    <w:p>
      <w:pPr>
        <w:keepNext w:val="0"/>
        <w:spacing w:before="0" w:after="80" w:line="264" w:lineRule="auto"/>
      </w:pPr>
      <w:r>
        <w:rPr>
          <w:rFonts w:ascii="Calibri" w:hAnsi="Calibri"/>
          <w:b/>
          <w:color w:val="000000"/>
          <w:sz w:val="22"/>
        </w:rPr>
        <w:t xml:space="preserve">Risk: </w:t>
      </w:r>
      <w:r>
        <w:rPr>
          <w:rFonts w:ascii="Calibri" w:hAnsi="Calibri"/>
          <w:color w:val="000000"/>
          <w:sz w:val="22"/>
        </w:rPr>
        <w:t>A live session can still be deleted after preflight.</w:t>
      </w:r>
    </w:p>
    <w:p>
      <w:pPr>
        <w:keepNext/>
        <w:spacing w:before="120" w:after="60" w:line="252" w:lineRule="auto"/>
      </w:pPr>
      <w:r>
        <w:rPr>
          <w:rFonts w:ascii="Calibri" w:hAnsi="Calibri"/>
          <w:b/>
          <w:color w:val="1F4D78"/>
          <w:sz w:val="23"/>
        </w:rPr>
        <w:t>Pending destructive migration behavior</w:t>
      </w:r>
    </w:p>
    <w:p>
      <w:pPr>
        <w:keepNext w:val="0"/>
        <w:spacing w:before="0" w:after="80" w:line="264" w:lineRule="auto"/>
      </w:pPr>
      <w:r>
        <w:rPr>
          <w:rFonts w:ascii="Calibri" w:hAnsi="Calibri"/>
          <w:b/>
          <w:color w:val="000000"/>
          <w:sz w:val="22"/>
        </w:rPr>
        <w:t xml:space="preserve">Assessment: </w:t>
      </w:r>
      <w:r>
        <w:rPr>
          <w:rFonts w:ascii="Calibri" w:hAnsi="Calibri"/>
          <w:color w:val="000000"/>
          <w:sz w:val="22"/>
        </w:rPr>
        <w:t>Fail-closed snapshot behavior is present, but it is not sufficient because deploy is split across two processes.</w:t>
      </w:r>
    </w:p>
    <w:p>
      <w:pPr>
        <w:keepNext w:val="0"/>
        <w:spacing w:before="0" w:after="80" w:line="264" w:lineRule="auto"/>
      </w:pPr>
      <w:r>
        <w:rPr>
          <w:rFonts w:ascii="Calibri" w:hAnsi="Calibri"/>
          <w:b/>
          <w:color w:val="000000"/>
          <w:sz w:val="22"/>
        </w:rPr>
        <w:t xml:space="preserve">Risk: </w:t>
      </w:r>
      <w:r>
        <w:rPr>
          <w:rFonts w:ascii="Calibri" w:hAnsi="Calibri"/>
          <w:color w:val="000000"/>
          <w:sz w:val="22"/>
        </w:rPr>
        <w:t>A race window remains open between preflight and Prisma deploy.</w:t>
      </w:r>
    </w:p>
    <w:p>
      <w:pPr>
        <w:keepNext/>
        <w:spacing w:before="120" w:after="60" w:line="252" w:lineRule="auto"/>
      </w:pPr>
      <w:r>
        <w:rPr>
          <w:rFonts w:ascii="Calibri" w:hAnsi="Calibri"/>
          <w:b/>
          <w:color w:val="1F4D78"/>
          <w:sz w:val="23"/>
        </w:rPr>
        <w:t>Provider duplicate behavior</w:t>
      </w:r>
    </w:p>
    <w:p>
      <w:pPr>
        <w:keepNext w:val="0"/>
        <w:spacing w:before="0" w:after="80" w:line="264" w:lineRule="auto"/>
      </w:pPr>
      <w:r>
        <w:rPr>
          <w:rFonts w:ascii="Calibri" w:hAnsi="Calibri"/>
          <w:b/>
          <w:color w:val="000000"/>
          <w:sz w:val="22"/>
        </w:rPr>
        <w:t xml:space="preserve">Assessment: </w:t>
      </w:r>
      <w:r>
        <w:rPr>
          <w:rFonts w:ascii="Calibri" w:hAnsi="Calibri"/>
          <w:color w:val="000000"/>
          <w:sz w:val="22"/>
        </w:rPr>
        <w:t>Deterministic canonical selection exists and duplicate rows are demoted instead of collapsed blindly.</w:t>
      </w:r>
    </w:p>
    <w:p>
      <w:pPr>
        <w:keepNext w:val="0"/>
        <w:spacing w:before="0" w:after="80" w:line="264" w:lineRule="auto"/>
      </w:pPr>
      <w:r>
        <w:rPr>
          <w:rFonts w:ascii="Calibri" w:hAnsi="Calibri"/>
          <w:b/>
          <w:color w:val="000000"/>
          <w:sz w:val="22"/>
        </w:rPr>
        <w:t xml:space="preserve">Risk: </w:t>
      </w:r>
      <w:r>
        <w:rPr>
          <w:rFonts w:ascii="Calibri" w:hAnsi="Calibri"/>
          <w:color w:val="000000"/>
          <w:sz w:val="22"/>
        </w:rPr>
        <w:t>The real-PostgreSQL proof is still weaker than the code change itself.</w:t>
      </w:r>
    </w:p>
    <w:p>
      <w:pPr>
        <w:keepNext/>
        <w:spacing w:before="120" w:after="60" w:line="252" w:lineRule="auto"/>
      </w:pPr>
      <w:r>
        <w:rPr>
          <w:rFonts w:ascii="Calibri" w:hAnsi="Calibri"/>
          <w:b/>
          <w:color w:val="1F4D78"/>
          <w:sz w:val="23"/>
        </w:rPr>
        <w:t>Store duplicate behavior</w:t>
      </w:r>
    </w:p>
    <w:p>
      <w:pPr>
        <w:keepNext w:val="0"/>
        <w:spacing w:before="0" w:after="80" w:line="264" w:lineRule="auto"/>
      </w:pPr>
      <w:r>
        <w:rPr>
          <w:rFonts w:ascii="Calibri" w:hAnsi="Calibri"/>
          <w:b/>
          <w:color w:val="000000"/>
          <w:sz w:val="22"/>
        </w:rPr>
        <w:t xml:space="preserve">Assessment: </w:t>
      </w:r>
      <w:r>
        <w:rPr>
          <w:rFonts w:ascii="Calibri" w:hAnsi="Calibri"/>
          <w:color w:val="000000"/>
          <w:sz w:val="22"/>
        </w:rPr>
        <w:t>The canonical Store resolver is aligned with runtime use, and the duplicate-store path appears deterministic.</w:t>
      </w:r>
    </w:p>
    <w:p>
      <w:pPr>
        <w:keepNext w:val="0"/>
        <w:spacing w:before="0" w:after="80" w:line="264" w:lineRule="auto"/>
      </w:pPr>
      <w:r>
        <w:rPr>
          <w:rFonts w:ascii="Calibri" w:hAnsi="Calibri"/>
          <w:b/>
          <w:color w:val="000000"/>
          <w:sz w:val="22"/>
        </w:rPr>
        <w:t xml:space="preserve">Risk: </w:t>
      </w:r>
      <w:r>
        <w:rPr>
          <w:rFonts w:ascii="Calibri" w:hAnsi="Calibri"/>
          <w:color w:val="000000"/>
          <w:sz w:val="22"/>
        </w:rPr>
        <w:t>The report treats this as operationally acceptable but still worth a disposable-DB proof if the store uniqueness migration is revisited.</w:t>
      </w:r>
    </w:p>
    <w:p>
      <w:pPr>
        <w:keepNext/>
        <w:spacing w:before="120" w:after="60" w:line="252" w:lineRule="auto"/>
      </w:pPr>
      <w:r>
        <w:rPr>
          <w:rFonts w:ascii="Calibri" w:hAnsi="Calibri"/>
          <w:b/>
          <w:color w:val="1F4D78"/>
          <w:sz w:val="23"/>
        </w:rPr>
        <w:t>Rollback concerns</w:t>
      </w:r>
    </w:p>
    <w:p>
      <w:pPr>
        <w:keepNext w:val="0"/>
        <w:spacing w:before="0" w:after="80" w:line="264" w:lineRule="auto"/>
      </w:pPr>
      <w:r>
        <w:rPr>
          <w:rFonts w:ascii="Calibri" w:hAnsi="Calibri"/>
          <w:b/>
          <w:color w:val="000000"/>
          <w:sz w:val="22"/>
        </w:rPr>
        <w:t xml:space="preserve">Assessment: </w:t>
      </w:r>
      <w:r>
        <w:rPr>
          <w:rFonts w:ascii="Calibri" w:hAnsi="Calibri"/>
          <w:color w:val="000000"/>
          <w:sz w:val="22"/>
        </w:rPr>
        <w:t>Rollback of deleted sessions is not possible without external backups; the report does not claim otherwise.</w:t>
      </w:r>
    </w:p>
    <w:p>
      <w:pPr>
        <w:keepNext w:val="0"/>
        <w:spacing w:before="0" w:after="80" w:line="264" w:lineRule="auto"/>
      </w:pPr>
      <w:r>
        <w:rPr>
          <w:rFonts w:ascii="Calibri" w:hAnsi="Calibri"/>
          <w:b/>
          <w:color w:val="000000"/>
          <w:sz w:val="22"/>
        </w:rPr>
        <w:t xml:space="preserve">Risk: </w:t>
      </w:r>
      <w:r>
        <w:rPr>
          <w:rFonts w:ascii="Calibri" w:hAnsi="Calibri"/>
          <w:color w:val="000000"/>
          <w:sz w:val="22"/>
        </w:rPr>
        <w:t>Provider credential and session rollback remain manual recovery concerns.</w:t>
      </w:r>
    </w:p>
    <w:p>
      <w:pPr>
        <w:pStyle w:val="Heading1"/>
        <w:keepNext/>
        <w:spacing w:before="280" w:after="120" w:line="252" w:lineRule="auto"/>
      </w:pPr>
      <w:r>
        <w:rPr>
          <w:rFonts w:ascii="Calibri" w:hAnsi="Calibri"/>
          <w:b/>
          <w:color w:val="2E74B5"/>
          <w:sz w:val="32"/>
        </w:rPr>
        <w:t>Test Evidence</w:t>
      </w:r>
    </w:p>
    <w:tbl>
      <w:tblPr>
        <w:tblStyle w:val="TableGrid"/>
        <w:tblW w:type="dxa" w:w="9360"/>
        <w:jc w:val="left"/>
        <w:tblLayout w:type="fixed"/>
        <w:tblLook w:firstColumn="1" w:firstRow="1" w:lastColumn="0" w:lastRow="0" w:noHBand="0" w:noVBand="1" w:val="04A0"/>
        <w:tblInd w:type="dxa" w:w="120"/>
      </w:tblPr>
      <w:tblGrid>
        <w:gridCol w:w="2950"/>
        <w:gridCol w:w="1500"/>
        <w:gridCol w:w="4910"/>
      </w:tblGrid>
      <w:tr>
        <w:trPr/>
        <w:tc>
          <w:tcPr>
            <w:tcW w:type="dxa" w:w="2950"/>
            <w:vAlign w:val="top"/>
            <w:shd w:fill="F2F4F7"/>
            <w:tcMar>
              <w:top w:w="80" w:type="dxa"/>
              <w:bottom w:w="80" w:type="dxa"/>
              <w:start w:w="120" w:type="dxa"/>
              <w:end w:w="120" w:type="dxa"/>
            </w:tcMar>
          </w:tcPr>
          <w:p>
            <w:pPr>
              <w:spacing w:before="0" w:after="0" w:line="252" w:lineRule="auto"/>
              <w:jc w:val="center"/>
            </w:pPr>
            <w:r>
              <w:rPr>
                <w:rFonts w:ascii="Calibri" w:hAnsi="Calibri"/>
                <w:b/>
                <w:color w:val="000000"/>
                <w:sz w:val="19"/>
              </w:rPr>
            </w:r>
            <w:r>
              <w:rPr>
                <w:rFonts w:ascii="Calibri" w:hAnsi="Calibri"/>
                <w:b/>
                <w:color w:val="000000"/>
                <w:sz w:val="19"/>
              </w:rPr>
              <w:t>Command</w:t>
            </w:r>
          </w:p>
        </w:tc>
        <w:tc>
          <w:tcPr>
            <w:tcW w:type="dxa" w:w="1500"/>
            <w:vAlign w:val="top"/>
            <w:shd w:fill="F2F4F7"/>
            <w:tcMar>
              <w:top w:w="80" w:type="dxa"/>
              <w:bottom w:w="80" w:type="dxa"/>
              <w:start w:w="120" w:type="dxa"/>
              <w:end w:w="120" w:type="dxa"/>
            </w:tcMar>
          </w:tcPr>
          <w:p>
            <w:pPr>
              <w:spacing w:before="0" w:after="0" w:line="252" w:lineRule="auto"/>
              <w:jc w:val="center"/>
            </w:pPr>
            <w:r>
              <w:rPr>
                <w:rFonts w:ascii="Calibri" w:hAnsi="Calibri"/>
                <w:b/>
                <w:color w:val="000000"/>
                <w:sz w:val="19"/>
              </w:rPr>
            </w:r>
            <w:r>
              <w:rPr>
                <w:rFonts w:ascii="Calibri" w:hAnsi="Calibri"/>
                <w:b/>
                <w:color w:val="000000"/>
                <w:sz w:val="19"/>
              </w:rPr>
              <w:t>Result</w:t>
            </w:r>
          </w:p>
        </w:tc>
        <w:tc>
          <w:tcPr>
            <w:tcW w:type="dxa" w:w="4910"/>
            <w:vAlign w:val="top"/>
            <w:shd w:fill="F2F4F7"/>
            <w:tcMar>
              <w:top w:w="80" w:type="dxa"/>
              <w:bottom w:w="80" w:type="dxa"/>
              <w:start w:w="120" w:type="dxa"/>
              <w:end w:w="120" w:type="dxa"/>
            </w:tcMar>
          </w:tcPr>
          <w:p>
            <w:pPr>
              <w:spacing w:before="0" w:after="0" w:line="252" w:lineRule="auto"/>
              <w:jc w:val="center"/>
            </w:pPr>
            <w:r>
              <w:rPr>
                <w:rFonts w:ascii="Calibri" w:hAnsi="Calibri"/>
                <w:b/>
                <w:color w:val="000000"/>
                <w:sz w:val="19"/>
              </w:rPr>
            </w:r>
            <w:r>
              <w:rPr>
                <w:rFonts w:ascii="Calibri" w:hAnsi="Calibri"/>
                <w:b/>
                <w:color w:val="000000"/>
                <w:sz w:val="19"/>
              </w:rPr>
              <w:t>Notes</w:t>
            </w:r>
          </w:p>
        </w:tc>
      </w:tr>
      <w:tr>
        <w:trPr/>
        <w:tc>
          <w:tcPr>
            <w:tcW w:type="dxa" w:w="29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npm run repo:check</w:t>
            </w:r>
          </w:p>
        </w:tc>
        <w:tc>
          <w:tcPr>
            <w:tcW w:type="dxa" w:w="15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Passed</w:t>
            </w:r>
          </w:p>
        </w:tc>
        <w:tc>
          <w:tcPr>
            <w:tcW w:type="dxa" w:w="49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Repository hygiene check completed successfully.</w:t>
            </w:r>
          </w:p>
        </w:tc>
      </w:tr>
      <w:tr>
        <w:trPr/>
        <w:tc>
          <w:tcPr>
            <w:tcW w:type="dxa" w:w="29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npm run db:generate</w:t>
            </w:r>
          </w:p>
        </w:tc>
        <w:tc>
          <w:tcPr>
            <w:tcW w:type="dxa" w:w="15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Passed</w:t>
            </w:r>
          </w:p>
        </w:tc>
        <w:tc>
          <w:tcPr>
            <w:tcW w:type="dxa" w:w="49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Prisma client generation succeeded.</w:t>
            </w:r>
          </w:p>
        </w:tc>
      </w:tr>
      <w:tr>
        <w:trPr/>
        <w:tc>
          <w:tcPr>
            <w:tcW w:type="dxa" w:w="29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npm run lint</w:t>
            </w:r>
          </w:p>
        </w:tc>
        <w:tc>
          <w:tcPr>
            <w:tcW w:type="dxa" w:w="15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Passed with warnings</w:t>
            </w:r>
          </w:p>
        </w:tc>
        <w:tc>
          <w:tcPr>
            <w:tcW w:type="dxa" w:w="49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Exit 0; warnings remained but no errors blocked the gate.</w:t>
            </w:r>
          </w:p>
        </w:tc>
      </w:tr>
      <w:tr>
        <w:trPr/>
        <w:tc>
          <w:tcPr>
            <w:tcW w:type="dxa" w:w="29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npx tsc --noEmit</w:t>
            </w:r>
          </w:p>
        </w:tc>
        <w:tc>
          <w:tcPr>
            <w:tcW w:type="dxa" w:w="15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Passed</w:t>
            </w:r>
          </w:p>
        </w:tc>
        <w:tc>
          <w:tcPr>
            <w:tcW w:type="dxa" w:w="49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TypeScript typecheck succeeded.</w:t>
            </w:r>
          </w:p>
        </w:tc>
      </w:tr>
      <w:tr>
        <w:trPr/>
        <w:tc>
          <w:tcPr>
            <w:tcW w:type="dxa" w:w="29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npm run test</w:t>
            </w:r>
          </w:p>
        </w:tc>
        <w:tc>
          <w:tcPr>
            <w:tcW w:type="dxa" w:w="15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Passed</w:t>
            </w:r>
          </w:p>
        </w:tc>
        <w:tc>
          <w:tcPr>
            <w:tcW w:type="dxa" w:w="49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252 files passed, 1 skipped; 1646 tests passed, 1 skipped.</w:t>
            </w:r>
          </w:p>
        </w:tc>
      </w:tr>
      <w:tr>
        <w:trPr/>
        <w:tc>
          <w:tcPr>
            <w:tcW w:type="dxa" w:w="29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npm run test:coverage</w:t>
            </w:r>
          </w:p>
        </w:tc>
        <w:tc>
          <w:tcPr>
            <w:tcW w:type="dxa" w:w="15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Passed</w:t>
            </w:r>
          </w:p>
        </w:tc>
        <w:tc>
          <w:tcPr>
            <w:tcW w:type="dxa" w:w="49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72.47% statements, 62.15% branches, 78.61% functions, 74.68% lines.</w:t>
            </w:r>
          </w:p>
        </w:tc>
      </w:tr>
      <w:tr>
        <w:trPr/>
        <w:tc>
          <w:tcPr>
            <w:tcW w:type="dxa" w:w="29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npm run build</w:t>
            </w:r>
          </w:p>
        </w:tc>
        <w:tc>
          <w:tcPr>
            <w:tcW w:type="dxa" w:w="15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Passed</w:t>
            </w:r>
          </w:p>
        </w:tc>
        <w:tc>
          <w:tcPr>
            <w:tcW w:type="dxa" w:w="49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Next build completed; one file-tracing warning remained.</w:t>
            </w:r>
          </w:p>
        </w:tc>
      </w:tr>
      <w:tr>
        <w:trPr/>
        <w:tc>
          <w:tcPr>
            <w:tcW w:type="dxa" w:w="29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git diff --check</w:t>
            </w:r>
          </w:p>
        </w:tc>
        <w:tc>
          <w:tcPr>
            <w:tcW w:type="dxa" w:w="15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Passed</w:t>
            </w:r>
          </w:p>
        </w:tc>
        <w:tc>
          <w:tcPr>
            <w:tcW w:type="dxa" w:w="49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No whitespace or patch-format issues.</w:t>
            </w:r>
          </w:p>
        </w:tc>
      </w:tr>
      <w:tr>
        <w:trPr/>
        <w:tc>
          <w:tcPr>
            <w:tcW w:type="dxa" w:w="29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npm run test:migrations:remediation</w:t>
            </w:r>
          </w:p>
        </w:tc>
        <w:tc>
          <w:tcPr>
            <w:tcW w:type="dxa" w:w="15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Started, then stalled</w:t>
            </w:r>
          </w:p>
        </w:tc>
        <w:tc>
          <w:tcPr>
            <w:tcW w:type="dxa" w:w="49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It reached the real PostgreSQL path, created a temp schema, and was stopped after no useful completion signal appeared within the wait window.</w:t>
            </w:r>
          </w:p>
        </w:tc>
      </w:tr>
      <w:tr>
        <w:trPr/>
        <w:tc>
          <w:tcPr>
            <w:tcW w:type="dxa" w:w="29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npm run test:integration</w:t>
            </w:r>
          </w:p>
        </w:tc>
        <w:tc>
          <w:tcPr>
            <w:tcW w:type="dxa" w:w="15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Not run</w:t>
            </w:r>
          </w:p>
        </w:tc>
        <w:tc>
          <w:tcPr>
            <w:tcW w:type="dxa" w:w="49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Not re-run after the migration stall because the disposable PostgreSQL path was not verified as usable.</w:t>
            </w:r>
          </w:p>
        </w:tc>
      </w:tr>
      <w:tr>
        <w:trPr/>
        <w:tc>
          <w:tcPr>
            <w:tcW w:type="dxa" w:w="29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npm run test:e2e</w:t>
            </w:r>
          </w:p>
        </w:tc>
        <w:tc>
          <w:tcPr>
            <w:tcW w:type="dxa" w:w="150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Not run</w:t>
            </w:r>
          </w:p>
        </w:tc>
        <w:tc>
          <w:tcPr>
            <w:tcW w:type="dxa" w:w="49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Not re-run for the same reason; no live provider credentials were used.</w:t>
            </w:r>
          </w:p>
        </w:tc>
      </w:tr>
    </w:tbl>
    <w:p>
      <w:pPr>
        <w:keepNext w:val="0"/>
        <w:spacing w:before="0" w:after="120" w:line="276" w:lineRule="auto"/>
      </w:pPr>
      <w:r>
        <w:rPr>
          <w:rFonts w:ascii="Calibri" w:hAnsi="Calibri"/>
          <w:color w:val="000000"/>
          <w:sz w:val="22"/>
        </w:rPr>
        <w:t>Database-backed tests were genuinely attempted, but the review does not claim full database-backed validation as independently confirmed. The migration validation script and disposable PostgreSQL probe existed, but the end-to-end integration/E2E suites were not rerun after the stalled migration command.</w:t>
      </w:r>
    </w:p>
    <w:p>
      <w:pPr>
        <w:pStyle w:val="Heading1"/>
        <w:keepNext/>
        <w:spacing w:before="280" w:after="120" w:line="252" w:lineRule="auto"/>
      </w:pPr>
      <w:r>
        <w:rPr>
          <w:rFonts w:ascii="Calibri" w:hAnsi="Calibri"/>
          <w:b/>
          <w:color w:val="2E74B5"/>
          <w:sz w:val="32"/>
        </w:rPr>
        <w:t>Merge Recommendation</w:t>
      </w:r>
    </w:p>
    <w:p>
      <w:pPr>
        <w:keepNext w:val="0"/>
        <w:spacing w:before="0" w:after="120" w:line="276" w:lineRule="auto"/>
      </w:pPr>
      <w:r>
        <w:rPr>
          <w:rFonts w:ascii="Calibri" w:hAnsi="Calibri"/>
          <w:color w:val="000000"/>
          <w:sz w:val="22"/>
        </w:rPr>
        <w:t>Not safe to merge exact HEAD. The branch should come back after the migration deploy path is made strictly fail-closed, the fresh-database heuristic is replaced with migration-history-based detection, and the remaining drawer/test-quality gaps are corrected or consciously accepted.</w:t>
      </w:r>
    </w:p>
    <w:p>
      <w:pPr>
        <w:pStyle w:val="Heading1"/>
        <w:keepNext/>
        <w:spacing w:before="280" w:after="120" w:line="252" w:lineRule="auto"/>
      </w:pPr>
      <w:r>
        <w:rPr>
          <w:rFonts w:ascii="Calibri" w:hAnsi="Calibri"/>
          <w:b/>
          <w:color w:val="2E74B5"/>
          <w:sz w:val="32"/>
        </w:rPr>
        <w:t>Final Deployment Checklist</w:t>
      </w:r>
    </w:p>
    <w:tbl>
      <w:tblPr>
        <w:tblStyle w:val="TableGrid"/>
        <w:tblW w:type="dxa" w:w="9360"/>
        <w:jc w:val="left"/>
        <w:tblLayout w:type="fixed"/>
        <w:tblLook w:firstColumn="1" w:firstRow="1" w:lastColumn="0" w:lastRow="0" w:noHBand="0" w:noVBand="1" w:val="04A0"/>
        <w:tblInd w:type="dxa" w:w="120"/>
      </w:tblPr>
      <w:tblGrid>
        <w:gridCol w:w="4850"/>
        <w:gridCol w:w="4510"/>
      </w:tblGrid>
      <w:tr>
        <w:trPr/>
        <w:tc>
          <w:tcPr>
            <w:tcW w:type="dxa" w:w="4850"/>
            <w:vAlign w:val="top"/>
            <w:shd w:fill="F2F4F7"/>
            <w:tcMar>
              <w:top w:w="80" w:type="dxa"/>
              <w:bottom w:w="80" w:type="dxa"/>
              <w:start w:w="120" w:type="dxa"/>
              <w:end w:w="120" w:type="dxa"/>
            </w:tcMar>
          </w:tcPr>
          <w:p>
            <w:pPr>
              <w:spacing w:before="0" w:after="0" w:line="252" w:lineRule="auto"/>
              <w:jc w:val="center"/>
            </w:pPr>
            <w:r>
              <w:rPr>
                <w:rFonts w:ascii="Calibri" w:hAnsi="Calibri"/>
                <w:b/>
                <w:color w:val="000000"/>
                <w:sz w:val="19"/>
              </w:rPr>
            </w:r>
            <w:r>
              <w:rPr>
                <w:rFonts w:ascii="Calibri" w:hAnsi="Calibri"/>
                <w:b/>
                <w:color w:val="000000"/>
                <w:sz w:val="19"/>
              </w:rPr>
              <w:t>Action</w:t>
            </w:r>
          </w:p>
        </w:tc>
        <w:tc>
          <w:tcPr>
            <w:tcW w:type="dxa" w:w="4510"/>
            <w:vAlign w:val="top"/>
            <w:shd w:fill="F2F4F7"/>
            <w:tcMar>
              <w:top w:w="80" w:type="dxa"/>
              <w:bottom w:w="80" w:type="dxa"/>
              <w:start w:w="120" w:type="dxa"/>
              <w:end w:w="120" w:type="dxa"/>
            </w:tcMar>
          </w:tcPr>
          <w:p>
            <w:pPr>
              <w:spacing w:before="0" w:after="0" w:line="252" w:lineRule="auto"/>
              <w:jc w:val="center"/>
            </w:pPr>
            <w:r>
              <w:rPr>
                <w:rFonts w:ascii="Calibri" w:hAnsi="Calibri"/>
                <w:b/>
                <w:color w:val="000000"/>
                <w:sz w:val="19"/>
              </w:rPr>
            </w:r>
            <w:r>
              <w:rPr>
                <w:rFonts w:ascii="Calibri" w:hAnsi="Calibri"/>
                <w:b/>
                <w:color w:val="000000"/>
                <w:sz w:val="19"/>
              </w:rPr>
              <w:t>Reason</w:t>
            </w:r>
          </w:p>
        </w:tc>
      </w:tr>
      <w:tr>
        <w:trPr/>
        <w:tc>
          <w:tcPr>
            <w:tcW w:type="dxa" w:w="48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Rotate the test database credential if it was exposed in command output.</w:t>
            </w:r>
          </w:p>
        </w:tc>
        <w:tc>
          <w:tcPr>
            <w:tcW w:type="dxa" w:w="45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Protect the disposable PostgreSQL environment used during review.</w:t>
            </w:r>
          </w:p>
        </w:tc>
      </w:tr>
      <w:tr>
        <w:trPr/>
        <w:tc>
          <w:tcPr>
            <w:tcW w:type="dxa" w:w="48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Make safe deploy fail closed on any pending destructive session migration for existing databases.</w:t>
            </w:r>
          </w:p>
        </w:tc>
        <w:tc>
          <w:tcPr>
            <w:tcW w:type="dxa" w:w="45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Eliminate the preflight-to-deploy race window.</w:t>
            </w:r>
          </w:p>
        </w:tc>
      </w:tr>
      <w:tr>
        <w:trPr/>
        <w:tc>
          <w:tcPr>
            <w:tcW w:type="dxa" w:w="48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Replace fresh-db detection with migration-history-based state.</w:t>
            </w:r>
          </w:p>
        </w:tc>
        <w:tc>
          <w:tcPr>
            <w:tcW w:type="dxa" w:w="45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Keep partial schemas out of the destructive bootstrap path.</w:t>
            </w:r>
          </w:p>
        </w:tc>
      </w:tr>
      <w:tr>
        <w:trPr/>
        <w:tc>
          <w:tcPr>
            <w:tcW w:type="dxa" w:w="48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Re-run the real PostgreSQL migration validation against the exact deploy wrapper.</w:t>
            </w:r>
          </w:p>
        </w:tc>
        <w:tc>
          <w:tcPr>
            <w:tcW w:type="dxa" w:w="45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Prove the operational path, not just a hand-driven SQL harness.</w:t>
            </w:r>
          </w:p>
        </w:tc>
      </w:tr>
      <w:tr>
        <w:trPr/>
        <w:tc>
          <w:tcPr>
            <w:tcW w:type="dxa" w:w="48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Re-run integration/E2E only after the disposable database path is verified healthy.</w:t>
            </w:r>
          </w:p>
        </w:tc>
        <w:tc>
          <w:tcPr>
            <w:tcW w:type="dxa" w:w="45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Avoid false confidence from a stalled migration run.</w:t>
            </w:r>
          </w:p>
        </w:tc>
      </w:tr>
      <w:tr>
        <w:trPr/>
        <w:tc>
          <w:tcPr>
            <w:tcW w:type="dxa" w:w="485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Tighten the drawer reopen/reset path and keep stale responses from mutating the new state.</w:t>
            </w:r>
          </w:p>
        </w:tc>
        <w:tc>
          <w:tcPr>
            <w:tcW w:type="dxa" w:w="4510"/>
            <w:vAlign w:val="top"/>
            <w:tcMar>
              <w:top w:w="80" w:type="dxa"/>
              <w:bottom w:w="80" w:type="dxa"/>
              <w:start w:w="120" w:type="dxa"/>
              <w:end w:w="120" w:type="dxa"/>
            </w:tcMar>
          </w:tcPr>
          <w:p>
            <w:pPr>
              <w:spacing w:before="0" w:after="0" w:line="252" w:lineRule="auto"/>
            </w:pPr>
            <w:r>
              <w:rPr>
                <w:rFonts w:ascii="Calibri" w:hAnsi="Calibri"/>
                <w:b w:val="0"/>
                <w:color w:val="000000"/>
                <w:sz w:val="19"/>
              </w:rPr>
            </w:r>
            <w:r>
              <w:rPr>
                <w:rFonts w:ascii="Calibri" w:hAnsi="Calibri"/>
                <w:b w:val="0"/>
                <w:color w:val="000000"/>
                <w:sz w:val="19"/>
              </w:rPr>
              <w:t>Match the original Shippo recheck requirement.</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Doopify Sol Remediation Review Report</dc:title>
  <dc:subject>Independent final read-only review</dc:subject>
  <dc:creator>OpenAI Codex</dc:creator>
  <cp:keywords/>
  <dc:description>Created from the review summary for downloadable handoff use.</dc:description>
  <cp:lastModifiedBy/>
  <cp:revision>1</cp:revision>
  <dcterms:created xsi:type="dcterms:W3CDTF">2013-12-23T23:15:00Z</dcterms:created>
  <dcterms:modified xsi:type="dcterms:W3CDTF">2013-12-23T23:15:00Z</dcterms:modified>
  <cp:category/>
</cp:coreProperties>
</file>