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  <Override ContentType="application/vnd.openxmlformats-officedocument.wordprocessingml.header+xml" PartName="/word/header12.xml"/>
  <Override ContentType="application/vnd.openxmlformats-officedocument.wordprocessingml.footer+xml" PartName="/word/footer1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sz="0"/>
              <w:left w:val="none" w:sz="0"/>
              <w:bottom w:val="none" w:sz="0"/>
              <w:right w:val="none" w:sz="0"/>
            </w:tcBorders>
            <w:shd w:fill="2E2E2E" w:val="clear"/>
            <w:tcMar>
              <w:top w:type="dxa" w:w="160"/>
              <w:left w:type="dxa" w:w="240"/>
              <w:bottom w:type="dxa" w:w="16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APC Consulting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BCBCBC"/>
                <w:sz w:val="17"/>
                <w:szCs w:val="17"/>
              </w:rPr>
              <w:t xml:space="preserve">Weston Baker / Cameron Taggart</w:t>
            </w:r>
          </w:p>
        </w:tc>
        <w:tc>
          <w:tcPr>
            <w:tcW w:type="dxa" w:w="2860"/>
            <w:tcBorders>
              <w:top w:val="none" w:sz="0"/>
              <w:left w:val="none" w:sz="0"/>
              <w:bottom w:val="none" w:sz="0"/>
              <w:right w:val="none" w:sz="0"/>
            </w:tcBorders>
            <w:shd w:fill="FEC700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ACTIVE</w:t>
            </w:r>
          </w:p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2E2E2E"/>
                <w:sz w:val="15"/>
                <w:szCs w:val="15"/>
              </w:rPr>
              <w:t xml:space="preserve">Commission &amp; BI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1D9E75" w:sz="12"/>
              <w:bottom w:val="none" w:sz="0"/>
              <w:right w:val="none" w:sz="0"/>
            </w:tcBorders>
            <w:shd w:fill="E8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0F6E56"/>
                <w:sz w:val="15"/>
                <w:szCs w:val="15"/>
              </w:rPr>
              <w:t xml:space="preserve">Shipped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E2E2E"/>
                <w:sz w:val="18"/>
                <w:szCs w:val="18"/>
              </w:rPr>
              <w:t xml:space="preserve">Commission infrastructure built and validated. Master table v3 reconciled across 14 suppliers, Power BI dashboards live, HubSpot properties configured, QuotaPath integration confirmed.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D85A30" w:sz="12"/>
              <w:bottom w:val="none" w:sz="0"/>
              <w:right w:val="none" w:sz="0"/>
            </w:tcBorders>
            <w:shd w:fill="FEF0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993C1D"/>
                <w:sz w:val="15"/>
                <w:szCs w:val="15"/>
              </w:rPr>
              <w:t xml:space="preserve">Blocked / at risk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E2E2E"/>
                <w:sz w:val="18"/>
                <w:szCs w:val="18"/>
              </w:rPr>
              <w:t xml:space="preserve">Kane introduced a new three-level commission structure one day before final delivery: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color w:val="2E2E2E"/>
                <w:sz w:val="18"/>
                <w:szCs w:val="18"/>
              </w:rPr>
              <w:t xml:space="preserve">Master table, ETL logic, and split calculations need rebuilding for new tiers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color w:val="2E2E2E"/>
                <w:sz w:val="18"/>
                <w:szCs w:val="18"/>
              </w:rPr>
              <w:t xml:space="preserve">HubSpot properties and Power BI dashboards require remapping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color w:val="2E2E2E"/>
                <w:sz w:val="18"/>
                <w:szCs w:val="18"/>
              </w:rPr>
              <w:t xml:space="preserve">Open questions sent to Kane on Mar 17 remain unanswered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378ADD" w:sz="12"/>
              <w:bottom w:val="none" w:sz="0"/>
              <w:right w:val="none" w:sz="0"/>
            </w:tcBorders>
            <w:shd w:fill="EBF3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185FA5"/>
                <w:sz w:val="15"/>
                <w:szCs w:val="15"/>
              </w:rPr>
              <w:t xml:space="preserve">Decision needed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8"/>
                <w:szCs w:val="18"/>
              </w:rPr>
              <w:t xml:space="preserve">Does Kane want us to deliver or wait?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8"/>
                <w:szCs w:val="18"/>
              </w:rPr>
              <w:t xml:space="preserve">A: Deliver now </w:t>
            </w:r>
            <w:r>
              <w:rPr>
                <w:rFonts w:ascii="Calibri" w:cs="Calibri" w:eastAsia="Calibri" w:hAnsi="Calibri"/>
                <w:color w:val="2E2E2E"/>
                <w:sz w:val="18"/>
                <w:szCs w:val="18"/>
              </w:rPr>
              <w:t xml:space="preserve">on original structure. New tiers become a separate phase.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8"/>
                <w:szCs w:val="18"/>
              </w:rPr>
              <w:t xml:space="preserve">B: Pause and rebuild </w:t>
            </w:r>
            <w:r>
              <w:rPr>
                <w:rFonts w:ascii="Calibri" w:cs="Calibri" w:eastAsia="Calibri" w:hAnsi="Calibri"/>
                <w:color w:val="2E2E2E"/>
                <w:sz w:val="18"/>
                <w:szCs w:val="18"/>
              </w:rPr>
              <w:t xml:space="preserve">for new structure. Requires Kane’s answers and a scope conversation.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C700" w:sz="6"/>
              <w:left w:val="single" w:color="FEC700" w:sz="6"/>
              <w:bottom w:val="single" w:color="FEC700" w:sz="6"/>
              <w:right w:val="single" w:color="FEC700" w:sz="6"/>
            </w:tcBorders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8"/>
                <w:szCs w:val="18"/>
              </w:rPr>
              <w:t xml:space="preserve">Commercial conversation with Kane needed before the team can move.</w:t>
            </w:r>
          </w:p>
        </w:tc>
      </w:tr>
    </w:tbl>
    <w:p>
      <w:pPr>
        <w:sectPr>
          <w:headerReference w:type="default" r:id="rId7"/>
          <w:footerReference w:type="default" r:id="rId8"/>
          <w:pgSz w:w="12240" w:h="15840" w:orient="portrait"/>
          <w:pgMar w:top="1000" w:right="1440" w:bottom="800" w:left="144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sz="0"/>
              <w:left w:val="none" w:sz="0"/>
              <w:bottom w:val="none" w:sz="0"/>
              <w:right w:val="none" w:sz="0"/>
            </w:tcBorders>
            <w:shd w:fill="2E2E2E" w:val="clear"/>
            <w:tcMar>
              <w:top w:type="dxa" w:w="160"/>
              <w:left w:type="dxa" w:w="240"/>
              <w:bottom w:type="dxa" w:w="16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Five Lakes Mfg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BCBCBC"/>
                <w:sz w:val="17"/>
                <w:szCs w:val="17"/>
              </w:rPr>
              <w:t xml:space="preserve">Weston Baker / Shraddha Hegde</w:t>
            </w:r>
          </w:p>
        </w:tc>
        <w:tc>
          <w:tcPr>
            <w:tcW w:type="dxa" w:w="2860"/>
            <w:tcBorders>
              <w:top w:val="none" w:sz="0"/>
              <w:left w:val="none" w:sz="0"/>
              <w:bottom w:val="none" w:sz="0"/>
              <w:right w:val="none" w:sz="0"/>
            </w:tcBorders>
            <w:shd w:fill="FEC700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ACTIVE</w:t>
            </w:r>
          </w:p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2E2E2E"/>
                <w:sz w:val="15"/>
                <w:szCs w:val="15"/>
              </w:rPr>
              <w:t xml:space="preserve">BI &amp; Data Pipeline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1D9E75" w:sz="12"/>
              <w:bottom w:val="none" w:sz="0"/>
              <w:right w:val="none" w:sz="0"/>
            </w:tcBorders>
            <w:shd w:fill="E8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0F6E56"/>
                <w:sz w:val="15"/>
                <w:szCs w:val="15"/>
              </w:rPr>
              <w:t xml:space="preserve">Shipped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E2E2E"/>
                <w:sz w:val="18"/>
                <w:szCs w:val="18"/>
              </w:rPr>
              <w:t xml:space="preserve">Mapped BearingPoint and Order-to-Production fields to Passport ERP. Linux server access established. First BearingPoint report ETA Mar 27. Sayer proposed building cloud infra; John agreed.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D85A30" w:sz="12"/>
              <w:bottom w:val="none" w:sz="0"/>
              <w:right w:val="none" w:sz="0"/>
            </w:tcBorders>
            <w:shd w:fill="FEF0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993C1D"/>
                <w:sz w:val="15"/>
                <w:szCs w:val="15"/>
              </w:rPr>
              <w:t xml:space="preserve">Blocked / at risk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E2E2E"/>
                <w:sz w:val="18"/>
                <w:szCs w:val="18"/>
              </w:rPr>
              <w:t xml:space="preserve">Multiple clarifications required from Five Lakes: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color w:val="2E2E2E"/>
                <w:sz w:val="18"/>
                <w:szCs w:val="18"/>
              </w:rPr>
              <w:t xml:space="preserve">Cloud infra access needed — Sayer building on AWS but needs credentials from Jamie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color w:val="2E2E2E"/>
                <w:sz w:val="18"/>
                <w:szCs w:val="18"/>
              </w:rPr>
              <w:t xml:space="preserve">Material Cost Report template not provided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color w:val="2E2E2E"/>
                <w:sz w:val="18"/>
                <w:szCs w:val="18"/>
              </w:rPr>
              <w:t xml:space="preserve">Google Sheets walkthrough needed for correct data source tabs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color w:val="2E2E2E"/>
                <w:sz w:val="18"/>
                <w:szCs w:val="18"/>
              </w:rPr>
              <w:t xml:space="preserve">Order-to-Production PDF conversion rules unclear (SCH/TICKET values)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378ADD" w:sz="12"/>
              <w:bottom w:val="none" w:sz="0"/>
              <w:right w:val="none" w:sz="0"/>
            </w:tcBorders>
            <w:shd w:fill="EBF3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185FA5"/>
                <w:sz w:val="15"/>
                <w:szCs w:val="15"/>
              </w:rPr>
              <w:t xml:space="preserve">Decision needed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8"/>
                <w:szCs w:val="18"/>
              </w:rPr>
              <w:t xml:space="preserve">How do we unblock infrastructure?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8"/>
                <w:szCs w:val="18"/>
              </w:rPr>
              <w:t xml:space="preserve">A: Sayer builds </w:t>
            </w:r>
            <w:r>
              <w:rPr>
                <w:rFonts w:ascii="Calibri" w:cs="Calibri" w:eastAsia="Calibri" w:hAnsi="Calibri"/>
                <w:color w:val="2E2E2E"/>
                <w:sz w:val="18"/>
                <w:szCs w:val="18"/>
              </w:rPr>
              <w:t xml:space="preserve">cloud infra on AWS. Need Jamie’s credentials by next sync.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8"/>
                <w:szCs w:val="18"/>
              </w:rPr>
              <w:t xml:space="preserve">B: Wait on FLM IT </w:t>
            </w:r>
            <w:r>
              <w:rPr>
                <w:rFonts w:ascii="Calibri" w:cs="Calibri" w:eastAsia="Calibri" w:hAnsi="Calibri"/>
                <w:color w:val="2E2E2E"/>
                <w:sz w:val="18"/>
                <w:szCs w:val="18"/>
              </w:rPr>
              <w:t xml:space="preserve">to provision. Timeline slips but avoids cost ambiguity.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C700" w:sz="6"/>
              <w:left w:val="single" w:color="FEC700" w:sz="6"/>
              <w:bottom w:val="single" w:color="FEC700" w:sz="6"/>
              <w:right w:val="single" w:color="FEC700" w:sz="6"/>
            </w:tcBorders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8"/>
                <w:szCs w:val="18"/>
              </w:rPr>
              <w:t xml:space="preserve">Schedule report design call with Brent/John. Jamie to provide cloud credentials.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 w:orient="portrait"/>
          <w:pgMar w:top="1000" w:right="1440" w:bottom="800" w:left="144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sz="0"/>
              <w:left w:val="none" w:sz="0"/>
              <w:bottom w:val="none" w:sz="0"/>
              <w:right w:val="none" w:sz="0"/>
            </w:tcBorders>
            <w:shd w:fill="2E2E2E" w:val="clear"/>
            <w:tcMar>
              <w:top w:type="dxa" w:w="160"/>
              <w:left w:type="dxa" w:w="240"/>
              <w:bottom w:type="dxa" w:w="16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Five Lakes Mfg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BCBCBC"/>
                <w:sz w:val="17"/>
                <w:szCs w:val="17"/>
              </w:rPr>
              <w:t xml:space="preserve">Terry Hooten / Weston Baker</w:t>
            </w:r>
          </w:p>
        </w:tc>
        <w:tc>
          <w:tcPr>
            <w:tcW w:type="dxa" w:w="2860"/>
            <w:tcBorders>
              <w:top w:val="none" w:sz="0"/>
              <w:left w:val="none" w:sz="0"/>
              <w:bottom w:val="none" w:sz="0"/>
              <w:right w:val="none" w:sz="0"/>
            </w:tcBorders>
            <w:shd w:fill="FEC700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ACTIVE</w:t>
            </w:r>
          </w:p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2E2E2E"/>
                <w:sz w:val="15"/>
                <w:szCs w:val="15"/>
              </w:rPr>
              <w:t xml:space="preserve">ERP Assessment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1D9E75" w:sz="12"/>
              <w:bottom w:val="none" w:sz="0"/>
              <w:right w:val="none" w:sz="0"/>
            </w:tcBorders>
            <w:shd w:fill="E8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0F6E56"/>
                <w:sz w:val="15"/>
                <w:szCs w:val="15"/>
              </w:rPr>
              <w:t xml:space="preserve">Shipped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E2E2E"/>
                <w:sz w:val="18"/>
                <w:szCs w:val="18"/>
              </w:rPr>
              <w:t xml:space="preserve">NetSuite intro and follow-up with Nunya/Oracle complete. Phase 1 plan: order-to-cash + inventory for Oct go-live. Epicor follow-up held. Sayer established as sole PM for ERP.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D85A30" w:sz="12"/>
              <w:bottom w:val="none" w:sz="0"/>
              <w:right w:val="none" w:sz="0"/>
            </w:tcBorders>
            <w:shd w:fill="FEF0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993C1D"/>
                <w:sz w:val="15"/>
                <w:szCs w:val="15"/>
              </w:rPr>
              <w:t xml:space="preserve">Blocked / at risk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E2E2E"/>
                <w:sz w:val="18"/>
                <w:szCs w:val="18"/>
              </w:rPr>
              <w:t xml:space="preserve">ERP costs higher than expected; vendor negotiations ongoing: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color w:val="2E2E2E"/>
                <w:sz w:val="18"/>
                <w:szCs w:val="18"/>
              </w:rPr>
              <w:t xml:space="preserve">~$585K total over 3 years (licensing + implementation + integration)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color w:val="2E2E2E"/>
                <w:sz w:val="18"/>
                <w:szCs w:val="18"/>
              </w:rPr>
              <w:t xml:space="preserve">Client hasn’t seen final pricing — Terry leading budget alignment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color w:val="2E2E2E"/>
                <w:sz w:val="18"/>
                <w:szCs w:val="18"/>
              </w:rPr>
              <w:t xml:space="preserve">Dew Point contacted client directly, creating confusion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color w:val="2E2E2E"/>
                <w:sz w:val="18"/>
                <w:szCs w:val="18"/>
              </w:rPr>
              <w:t xml:space="preserve">Manufacturing module selection still open (NetSuite vs. Epicor)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378ADD" w:sz="12"/>
              <w:bottom w:val="none" w:sz="0"/>
              <w:right w:val="none" w:sz="0"/>
            </w:tcBorders>
            <w:shd w:fill="EBF3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185FA5"/>
                <w:sz w:val="15"/>
                <w:szCs w:val="15"/>
              </w:rPr>
              <w:t xml:space="preserve">Decision needed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8"/>
                <w:szCs w:val="18"/>
              </w:rPr>
              <w:t xml:space="preserve">Which ERP path?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8"/>
                <w:szCs w:val="18"/>
              </w:rPr>
              <w:t xml:space="preserve">A: NetSuite </w:t>
            </w:r>
            <w:r>
              <w:rPr>
                <w:rFonts w:ascii="Calibri" w:cs="Calibri" w:eastAsia="Calibri" w:hAnsi="Calibri"/>
                <w:color w:val="2E2E2E"/>
                <w:sz w:val="18"/>
                <w:szCs w:val="18"/>
              </w:rPr>
              <w:t xml:space="preserve">via Nunya. Oct 1 go-live. ~$585K/3yr. Manufacturing module TBD.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8"/>
                <w:szCs w:val="18"/>
              </w:rPr>
              <w:t xml:space="preserve">B: Epicor Kinetic </w:t>
            </w:r>
            <w:r>
              <w:rPr>
                <w:rFonts w:ascii="Calibri" w:cs="Calibri" w:eastAsia="Calibri" w:hAnsi="Calibri"/>
                <w:color w:val="2E2E2E"/>
                <w:sz w:val="18"/>
                <w:szCs w:val="18"/>
              </w:rPr>
              <w:t xml:space="preserve">Purpose-built for mfg. Quote tool integration clearer. Needs full scoping.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C700" w:sz="6"/>
              <w:left w:val="single" w:color="FEC700" w:sz="6"/>
              <w:bottom w:val="single" w:color="FEC700" w:sz="6"/>
              <w:right w:val="single" w:color="FEC700" w:sz="6"/>
            </w:tcBorders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8"/>
                <w:szCs w:val="18"/>
              </w:rPr>
              <w:t xml:space="preserve">Terry to present cost comparison. On-site scoping sessions needed.</w:t>
            </w:r>
          </w:p>
        </w:tc>
      </w:tr>
    </w:tbl>
    <w:p>
      <w:pPr>
        <w:sectPr>
          <w:headerReference w:type="default" r:id="rId11"/>
          <w:footerReference w:type="default" r:id="rId12"/>
          <w:pgSz w:w="12240" w:h="15840" w:orient="portrait"/>
          <w:pgMar w:top="1000" w:right="1440" w:bottom="800" w:left="144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sz="0"/>
              <w:left w:val="none" w:sz="0"/>
              <w:bottom w:val="none" w:sz="0"/>
              <w:right w:val="none" w:sz="0"/>
            </w:tcBorders>
            <w:shd w:fill="2E2E2E" w:val="clear"/>
            <w:tcMar>
              <w:top w:type="dxa" w:w="160"/>
              <w:left w:type="dxa" w:w="240"/>
              <w:bottom w:type="dxa" w:w="16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Five Lakes Mfg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BCBCBC"/>
                <w:sz w:val="17"/>
                <w:szCs w:val="17"/>
              </w:rPr>
              <w:t xml:space="preserve">Weston Baker / Cameron Taggart</w:t>
            </w:r>
          </w:p>
        </w:tc>
        <w:tc>
          <w:tcPr>
            <w:tcW w:type="dxa" w:w="2860"/>
            <w:tcBorders>
              <w:top w:val="none" w:sz="0"/>
              <w:left w:val="none" w:sz="0"/>
              <w:bottom w:val="none" w:sz="0"/>
              <w:right w:val="none" w:sz="0"/>
            </w:tcBorders>
            <w:shd w:fill="FEC700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ACTIVE</w:t>
            </w:r>
          </w:p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2E2E2E"/>
                <w:sz w:val="15"/>
                <w:szCs w:val="15"/>
              </w:rPr>
              <w:t xml:space="preserve">HubSpot &amp; CRM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1D9E75" w:sz="12"/>
              <w:bottom w:val="none" w:sz="0"/>
              <w:right w:val="none" w:sz="0"/>
            </w:tcBorders>
            <w:shd w:fill="E8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0F6E56"/>
                <w:sz w:val="15"/>
                <w:szCs w:val="15"/>
              </w:rPr>
              <w:t xml:space="preserve">Shipped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E2E2E"/>
                <w:sz w:val="18"/>
                <w:szCs w:val="18"/>
              </w:rPr>
              <w:t xml:space="preserve">Account-based rep assignment agreed. CRM permissions configured. LinkedIn integration strategy outlined for May. Customer issue tracking migration to HubSpot Service Hub scoped.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D85A30" w:sz="12"/>
              <w:bottom w:val="none" w:sz="0"/>
              <w:right w:val="none" w:sz="0"/>
            </w:tcBorders>
            <w:shd w:fill="FEF0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993C1D"/>
                <w:sz w:val="15"/>
                <w:szCs w:val="15"/>
              </w:rPr>
              <w:t xml:space="preserve">Blocked / at risk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E2E2E"/>
                <w:sz w:val="18"/>
                <w:szCs w:val="18"/>
              </w:rPr>
              <w:t xml:space="preserve">Items needed before April 6 launch: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color w:val="2E2E2E"/>
                <w:sz w:val="18"/>
                <w:szCs w:val="18"/>
              </w:rPr>
              <w:t xml:space="preserve">PDF storage confirmation (HubSpot native vs. AWS linked)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color w:val="2E2E2E"/>
                <w:sz w:val="18"/>
                <w:szCs w:val="18"/>
              </w:rPr>
              <w:t xml:space="preserve">Quote properties need verification in production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color w:val="2E2E2E"/>
                <w:sz w:val="18"/>
                <w:szCs w:val="18"/>
              </w:rPr>
              <w:t xml:space="preserve">Erica’s invite needs resending; Alexis Bates needs onboarding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color w:val="2E2E2E"/>
                <w:sz w:val="18"/>
                <w:szCs w:val="18"/>
              </w:rPr>
              <w:t xml:space="preserve">Jason departs April 10 — training must happen week of April 6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378ADD" w:sz="12"/>
              <w:bottom w:val="none" w:sz="0"/>
              <w:right w:val="none" w:sz="0"/>
            </w:tcBorders>
            <w:shd w:fill="EBF3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185FA5"/>
                <w:sz w:val="15"/>
                <w:szCs w:val="15"/>
              </w:rPr>
              <w:t xml:space="preserve">Decision needed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8"/>
                <w:szCs w:val="18"/>
              </w:rPr>
              <w:t xml:space="preserve">On track for April 6?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8"/>
                <w:szCs w:val="18"/>
              </w:rPr>
              <w:t xml:space="preserve">A: Launch April 6 </w:t>
            </w:r>
            <w:r>
              <w:rPr>
                <w:rFonts w:ascii="Calibri" w:cs="Calibri" w:eastAsia="Calibri" w:hAnsi="Calibri"/>
                <w:color w:val="2E2E2E"/>
                <w:sz w:val="18"/>
                <w:szCs w:val="18"/>
              </w:rPr>
              <w:t xml:space="preserve">as planned. Training this week, all access confirmed.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8"/>
                <w:szCs w:val="18"/>
              </w:rPr>
              <w:t xml:space="preserve">B: Soft launch April 6 </w:t>
            </w:r>
            <w:r>
              <w:rPr>
                <w:rFonts w:ascii="Calibri" w:cs="Calibri" w:eastAsia="Calibri" w:hAnsi="Calibri"/>
                <w:color w:val="2E2E2E"/>
                <w:sz w:val="18"/>
                <w:szCs w:val="18"/>
              </w:rPr>
              <w:t xml:space="preserve">core users live, broader team April 13 after Jason’s window.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C700" w:sz="6"/>
              <w:left w:val="single" w:color="FEC700" w:sz="6"/>
              <w:bottom w:val="single" w:color="FEC700" w:sz="6"/>
              <w:right w:val="single" w:color="FEC700" w:sz="6"/>
            </w:tcBorders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8"/>
                <w:szCs w:val="18"/>
              </w:rPr>
              <w:t xml:space="preserve">Confirm Service Hub, schedule training, onboard Alexis before Jason departs.</w:t>
            </w:r>
          </w:p>
        </w:tc>
      </w:tr>
    </w:tbl>
    <w:p>
      <w:pPr>
        <w:sectPr>
          <w:headerReference w:type="default" r:id="rId13"/>
          <w:footerReference w:type="default" r:id="rId14"/>
          <w:pgSz w:w="12240" w:h="15840" w:orient="portrait"/>
          <w:pgMar w:top="1000" w:right="1440" w:bottom="800" w:left="144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sz="0"/>
              <w:left w:val="none" w:sz="0"/>
              <w:bottom w:val="none" w:sz="0"/>
              <w:right w:val="none" w:sz="0"/>
            </w:tcBorders>
            <w:shd w:fill="2E2E2E" w:val="clear"/>
            <w:tcMar>
              <w:top w:type="dxa" w:w="160"/>
              <w:left w:type="dxa" w:w="240"/>
              <w:bottom w:type="dxa" w:w="16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NAKS Inc. (Valesco)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BCBCBC"/>
                <w:sz w:val="17"/>
                <w:szCs w:val="17"/>
              </w:rPr>
              <w:t xml:space="preserve">Billy Leigh / Tim Hainey</w:t>
            </w:r>
          </w:p>
        </w:tc>
        <w:tc>
          <w:tcPr>
            <w:tcW w:type="dxa" w:w="2860"/>
            <w:tcBorders>
              <w:top w:val="none" w:sz="0"/>
              <w:left w:val="none" w:sz="0"/>
              <w:bottom w:val="none" w:sz="0"/>
              <w:right w:val="none" w:sz="0"/>
            </w:tcBorders>
            <w:shd w:fill="FEC700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ACTIVE</w:t>
            </w:r>
          </w:p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2E2E2E"/>
                <w:sz w:val="15"/>
                <w:szCs w:val="15"/>
              </w:rPr>
              <w:t xml:space="preserve">NetSuite Integration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1D9E75" w:sz="12"/>
              <w:bottom w:val="none" w:sz="0"/>
              <w:right w:val="none" w:sz="0"/>
            </w:tcBorders>
            <w:shd w:fill="E8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0F6E56"/>
                <w:sz w:val="15"/>
                <w:szCs w:val="15"/>
              </w:rPr>
              <w:t xml:space="preserve">Shipped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E2E2E"/>
                <w:sz w:val="18"/>
                <w:szCs w:val="18"/>
              </w:rPr>
              <w:t xml:space="preserve">On-site discovery complete. NetSuite at 85–90%. Rick Dodson confirmed as accounting lead. Invoicing backlog cleanup underway (Jan by Mar 31, Feb by Apr 7, Mar by Apr 15). Scope locked to integration only.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D85A30" w:sz="12"/>
              <w:bottom w:val="none" w:sz="0"/>
              <w:right w:val="none" w:sz="0"/>
            </w:tcBorders>
            <w:shd w:fill="FEF0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993C1D"/>
                <w:sz w:val="15"/>
                <w:szCs w:val="15"/>
              </w:rPr>
              <w:t xml:space="preserve">Blocked / at risk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E2E2E"/>
                <w:sz w:val="18"/>
                <w:szCs w:val="18"/>
              </w:rPr>
              <w:t xml:space="preserve">Coordination challenges remain: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color w:val="2E2E2E"/>
                <w:sz w:val="18"/>
                <w:szCs w:val="18"/>
              </w:rPr>
              <w:t xml:space="preserve">Unclear how Sayer works alongside BSP and Dan Cavolo (current ERP PM)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color w:val="2E2E2E"/>
                <w:sz w:val="18"/>
                <w:szCs w:val="18"/>
              </w:rPr>
              <w:t xml:space="preserve">Manufacturing module not yet selected — blocks planning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color w:val="2E2E2E"/>
                <w:sz w:val="18"/>
                <w:szCs w:val="18"/>
              </w:rPr>
              <w:t xml:space="preserve">Kaitlynn asked about AI for invoicing backlog (currently manual)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color w:val="2E2E2E"/>
                <w:sz w:val="18"/>
                <w:szCs w:val="18"/>
              </w:rPr>
              <w:t xml:space="preserve">Mandatory on-site April 6 — team alignment needed before then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378ADD" w:sz="12"/>
              <w:bottom w:val="none" w:sz="0"/>
              <w:right w:val="none" w:sz="0"/>
            </w:tcBorders>
            <w:shd w:fill="EBF3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185FA5"/>
                <w:sz w:val="15"/>
                <w:szCs w:val="15"/>
              </w:rPr>
              <w:t xml:space="preserve">Decision needed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8"/>
                <w:szCs w:val="18"/>
              </w:rPr>
              <w:t xml:space="preserve">Sayer’s role vs. existing BSP team?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8"/>
                <w:szCs w:val="18"/>
              </w:rPr>
              <w:t xml:space="preserve">A: Sayer leads </w:t>
            </w:r>
            <w:r>
              <w:rPr>
                <w:rFonts w:ascii="Calibri" w:cs="Calibri" w:eastAsia="Calibri" w:hAnsi="Calibri"/>
                <w:color w:val="2E2E2E"/>
                <w:sz w:val="18"/>
                <w:szCs w:val="18"/>
              </w:rPr>
              <w:t xml:space="preserve">and absorbs PM from BSP. Clean ownership.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8"/>
                <w:szCs w:val="18"/>
              </w:rPr>
              <w:t xml:space="preserve">B: Sayer advises </w:t>
            </w:r>
            <w:r>
              <w:rPr>
                <w:rFonts w:ascii="Calibri" w:cs="Calibri" w:eastAsia="Calibri" w:hAnsi="Calibri"/>
                <w:color w:val="2E2E2E"/>
                <w:sz w:val="18"/>
                <w:szCs w:val="18"/>
              </w:rPr>
              <w:t xml:space="preserve">alongside BSP. Lower friction but risk of duplicated effort.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C700" w:sz="6"/>
              <w:left w:val="single" w:color="FEC700" w:sz="6"/>
              <w:bottom w:val="single" w:color="FEC700" w:sz="6"/>
              <w:right w:val="single" w:color="FEC700" w:sz="6"/>
            </w:tcBorders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8"/>
                <w:szCs w:val="18"/>
              </w:rPr>
              <w:t xml:space="preserve">Pre-kickoff call with Rick to clarify roles before April 6 on-site.</w:t>
            </w:r>
          </w:p>
        </w:tc>
      </w:tr>
    </w:tbl>
    <w:p>
      <w:pPr>
        <w:sectPr>
          <w:headerReference w:type="default" r:id="rId15"/>
          <w:footerReference w:type="default" r:id="rId16"/>
          <w:pgSz w:w="12240" w:h="15840" w:orient="portrait"/>
          <w:pgMar w:top="1000" w:right="1440" w:bottom="800" w:left="144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sz="0"/>
              <w:left w:val="none" w:sz="0"/>
              <w:bottom w:val="none" w:sz="0"/>
              <w:right w:val="none" w:sz="0"/>
            </w:tcBorders>
            <w:shd w:fill="2E2E2E" w:val="clear"/>
            <w:tcMar>
              <w:top w:type="dxa" w:w="160"/>
              <w:left w:type="dxa" w:w="240"/>
              <w:bottom w:type="dxa" w:w="16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ResinSmart / RTI Global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BCBCBC"/>
                <w:sz w:val="17"/>
                <w:szCs w:val="17"/>
              </w:rPr>
              <w:t xml:space="preserve">Cameron Taggart / Weston Baker</w:t>
            </w:r>
          </w:p>
        </w:tc>
        <w:tc>
          <w:tcPr>
            <w:tcW w:type="dxa" w:w="2860"/>
            <w:tcBorders>
              <w:top w:val="none" w:sz="0"/>
              <w:left w:val="none" w:sz="0"/>
              <w:bottom w:val="none" w:sz="0"/>
              <w:right w:val="none" w:sz="0"/>
            </w:tcBorders>
            <w:shd w:fill="FEC700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ACTIVE</w:t>
            </w:r>
          </w:p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2E2E2E"/>
                <w:sz w:val="15"/>
                <w:szCs w:val="15"/>
              </w:rPr>
              <w:t xml:space="preserve">Product &amp; Go-to-Market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1D9E75" w:sz="12"/>
              <w:bottom w:val="none" w:sz="0"/>
              <w:right w:val="none" w:sz="0"/>
            </w:tcBorders>
            <w:shd w:fill="E8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0F6E56"/>
                <w:sz w:val="15"/>
                <w:szCs w:val="15"/>
              </w:rPr>
              <w:t xml:space="preserve">Shipped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E2E2E"/>
                <w:sz w:val="18"/>
                <w:szCs w:val="18"/>
              </w:rPr>
              <w:t xml:space="preserve">$360K NPK deal closed. Pipeline at $600K. Client Data Strategy nearing completion. Paid media at $5,500/mo. Resin price forecasting built with Claude AI. Benchmark landing page in dev.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D85A30" w:sz="12"/>
              <w:bottom w:val="none" w:sz="0"/>
              <w:right w:val="none" w:sz="0"/>
            </w:tcBorders>
            <w:shd w:fill="FEF0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993C1D"/>
                <w:sz w:val="15"/>
                <w:szCs w:val="15"/>
              </w:rPr>
              <w:t xml:space="preserve">Blocked / at risk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E2E2E"/>
                <w:sz w:val="18"/>
                <w:szCs w:val="18"/>
              </w:rPr>
              <w:t xml:space="preserve">Strategic decisions and renewals pending: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color w:val="2E2E2E"/>
                <w:sz w:val="18"/>
                <w:szCs w:val="18"/>
              </w:rPr>
              <w:t xml:space="preserve">ISIS subscription ($30K/yr) due May 28 — debating renewal vs. CMA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color w:val="2E2E2E"/>
                <w:sz w:val="18"/>
                <w:szCs w:val="18"/>
              </w:rPr>
              <w:t xml:space="preserve">Everstream contract terms and data sharing still being negotiated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color w:val="2E2E2E"/>
                <w:sz w:val="18"/>
                <w:szCs w:val="18"/>
              </w:rPr>
              <w:t xml:space="preserve">Free trial signups dropped to 6 in Feb — conversion needs work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378ADD" w:sz="12"/>
              <w:bottom w:val="none" w:sz="0"/>
              <w:right w:val="none" w:sz="0"/>
            </w:tcBorders>
            <w:shd w:fill="EBF3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185FA5"/>
                <w:sz w:val="15"/>
                <w:szCs w:val="15"/>
              </w:rPr>
              <w:t xml:space="preserve">Decision needed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8"/>
                <w:szCs w:val="18"/>
              </w:rPr>
              <w:t xml:space="preserve">Renew ISIS or switch to CMA?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8"/>
                <w:szCs w:val="18"/>
              </w:rPr>
              <w:t xml:space="preserve">A: Renew ISIS </w:t>
            </w:r>
            <w:r>
              <w:rPr>
                <w:rFonts w:ascii="Calibri" w:cs="Calibri" w:eastAsia="Calibri" w:hAnsi="Calibri"/>
                <w:color w:val="2E2E2E"/>
                <w:sz w:val="18"/>
                <w:szCs w:val="18"/>
              </w:rPr>
              <w:t xml:space="preserve">at $30K/yr. Data continuity. Negotiate better terms.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8"/>
                <w:szCs w:val="18"/>
              </w:rPr>
              <w:t xml:space="preserve">B: Switch to CMA </w:t>
            </w:r>
            <w:r>
              <w:rPr>
                <w:rFonts w:ascii="Calibri" w:cs="Calibri" w:eastAsia="Calibri" w:hAnsi="Calibri"/>
                <w:color w:val="2E2E2E"/>
                <w:sz w:val="18"/>
                <w:szCs w:val="18"/>
              </w:rPr>
              <w:t xml:space="preserve">Lower cost. Validate data quality first.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C700" w:sz="6"/>
              <w:left w:val="single" w:color="FEC700" w:sz="6"/>
              <w:bottom w:val="single" w:color="FEC700" w:sz="6"/>
              <w:right w:val="single" w:color="FEC700" w:sz="6"/>
            </w:tcBorders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8"/>
                <w:szCs w:val="18"/>
              </w:rPr>
              <w:t xml:space="preserve">Finalize Everstream terms and naming before April webinar.</w:t>
            </w:r>
          </w:p>
        </w:tc>
      </w:tr>
    </w:tbl>
    <w:p>
      <w:pPr>
        <w:sectPr>
          <w:headerReference w:type="default" r:id="rId17"/>
          <w:footerReference w:type="default" r:id="rId18"/>
          <w:pgSz w:w="12240" w:h="15840" w:orient="portrait"/>
          <w:pgMar w:top="1000" w:right="1440" w:bottom="800" w:left="144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sz="0"/>
              <w:left w:val="none" w:sz="0"/>
              <w:bottom w:val="none" w:sz="0"/>
              <w:right w:val="none" w:sz="0"/>
            </w:tcBorders>
            <w:shd w:fill="2E2E2E" w:val="clear"/>
            <w:tcMar>
              <w:top w:type="dxa" w:w="160"/>
              <w:left w:type="dxa" w:w="240"/>
              <w:bottom w:type="dxa" w:w="16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Fabian Group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BCBCBC"/>
                <w:sz w:val="17"/>
                <w:szCs w:val="17"/>
              </w:rPr>
              <w:t xml:space="preserve">Weston Baker / Terry Hooten</w:t>
            </w:r>
          </w:p>
        </w:tc>
        <w:tc>
          <w:tcPr>
            <w:tcW w:type="dxa" w:w="2860"/>
            <w:tcBorders>
              <w:top w:val="none" w:sz="0"/>
              <w:left w:val="none" w:sz="0"/>
              <w:bottom w:val="none" w:sz="0"/>
              <w:right w:val="none" w:sz="0"/>
            </w:tcBorders>
            <w:shd w:fill="FEC700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ACTIVE</w:t>
            </w:r>
          </w:p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2E2E2E"/>
                <w:sz w:val="15"/>
                <w:szCs w:val="15"/>
              </w:rPr>
              <w:t xml:space="preserve">ERP Assessment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1D9E75" w:sz="12"/>
              <w:bottom w:val="none" w:sz="0"/>
              <w:right w:val="none" w:sz="0"/>
            </w:tcBorders>
            <w:shd w:fill="E8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0F6E56"/>
                <w:sz w:val="15"/>
                <w:szCs w:val="15"/>
              </w:rPr>
              <w:t xml:space="preserve">Shipped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E2E2E"/>
                <w:sz w:val="18"/>
                <w:szCs w:val="18"/>
              </w:rPr>
              <w:t xml:space="preserve">Team prepared: existing docs synthesized, Voltage demos reviewed. Claude ERP assessment skill in development. Engagement framework ready to deploy.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D85A30" w:sz="12"/>
              <w:bottom w:val="none" w:sz="0"/>
              <w:right w:val="none" w:sz="0"/>
            </w:tcBorders>
            <w:shd w:fill="FEF0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993C1D"/>
                <w:sz w:val="15"/>
                <w:szCs w:val="15"/>
              </w:rPr>
              <w:t xml:space="preserve">Blocked / at risk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E2E2E"/>
                <w:sz w:val="18"/>
                <w:szCs w:val="18"/>
              </w:rPr>
              <w:t xml:space="preserve">Kickoff stalled pending CEO approval: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color w:val="2E2E2E"/>
                <w:sz w:val="18"/>
                <w:szCs w:val="18"/>
              </w:rPr>
              <w:t xml:space="preserve">Vlada Rassin (CEO) has not signed off — board anticipates completion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color w:val="2E2E2E"/>
                <w:sz w:val="18"/>
                <w:szCs w:val="18"/>
              </w:rPr>
              <w:t xml:space="preserve">SOW requires sign-off before billable work begins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color w:val="2E2E2E"/>
                <w:sz w:val="18"/>
                <w:szCs w:val="18"/>
              </w:rPr>
              <w:t xml:space="preserve">Addison may need to be involved to expedite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378ADD" w:sz="12"/>
              <w:bottom w:val="none" w:sz="0"/>
              <w:right w:val="none" w:sz="0"/>
            </w:tcBorders>
            <w:shd w:fill="EBF3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185FA5"/>
                <w:sz w:val="15"/>
                <w:szCs w:val="15"/>
              </w:rPr>
              <w:t xml:space="preserve">Decision needed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8"/>
                <w:szCs w:val="18"/>
              </w:rPr>
              <w:t xml:space="preserve">How do we accelerate Vlada’s approval?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8"/>
                <w:szCs w:val="18"/>
              </w:rPr>
              <w:t xml:space="preserve">A: Engage Addison </w:t>
            </w:r>
            <w:r>
              <w:rPr>
                <w:rFonts w:ascii="Calibri" w:cs="Calibri" w:eastAsia="Calibri" w:hAnsi="Calibri"/>
                <w:color w:val="2E2E2E"/>
                <w:sz w:val="18"/>
                <w:szCs w:val="18"/>
              </w:rPr>
              <w:t xml:space="preserve">for board-level push. Faster but adds political dimension.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8"/>
                <w:szCs w:val="18"/>
              </w:rPr>
              <w:t xml:space="preserve">B: Direct outreach </w:t>
            </w:r>
            <w:r>
              <w:rPr>
                <w:rFonts w:ascii="Calibri" w:cs="Calibri" w:eastAsia="Calibri" w:hAnsi="Calibri"/>
                <w:color w:val="2E2E2E"/>
                <w:sz w:val="18"/>
                <w:szCs w:val="18"/>
              </w:rPr>
              <w:t xml:space="preserve">Billy/Greg reach Vlada with value summary and timeline.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C700" w:sz="6"/>
              <w:left w:val="single" w:color="FEC700" w:sz="6"/>
              <w:bottom w:val="single" w:color="FEC700" w:sz="6"/>
              <w:right w:val="single" w:color="FEC700" w:sz="6"/>
            </w:tcBorders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8"/>
                <w:szCs w:val="18"/>
              </w:rPr>
              <w:t xml:space="preserve">SOW sign-off is the single blocker. Determine escalation path this week.</w:t>
            </w:r>
          </w:p>
        </w:tc>
      </w:tr>
    </w:tbl>
    <w:p>
      <w:pPr>
        <w:sectPr>
          <w:headerReference w:type="default" r:id="rId19"/>
          <w:footerReference w:type="default" r:id="rId20"/>
          <w:pgSz w:w="12240" w:h="15840" w:orient="portrait"/>
          <w:pgMar w:top="1000" w:right="1440" w:bottom="800" w:left="144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sz="0"/>
              <w:left w:val="none" w:sz="0"/>
              <w:bottom w:val="none" w:sz="0"/>
              <w:right w:val="none" w:sz="0"/>
            </w:tcBorders>
            <w:shd w:fill="2E2E2E" w:val="clear"/>
            <w:tcMar>
              <w:top w:type="dxa" w:w="160"/>
              <w:left w:type="dxa" w:w="240"/>
              <w:bottom w:type="dxa" w:w="16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Thunderbird Minerals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BCBCBC"/>
                <w:sz w:val="17"/>
                <w:szCs w:val="17"/>
              </w:rPr>
              <w:t xml:space="preserve">Weston Baker / Billy Leigh</w:t>
            </w:r>
          </w:p>
        </w:tc>
        <w:tc>
          <w:tcPr>
            <w:tcW w:type="dxa" w:w="2860"/>
            <w:tcBorders>
              <w:top w:val="none" w:sz="0"/>
              <w:left w:val="none" w:sz="0"/>
              <w:bottom w:val="none" w:sz="0"/>
              <w:right w:val="none" w:sz="0"/>
            </w:tcBorders>
            <w:shd w:fill="FEC700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GREEN</w:t>
            </w:r>
          </w:p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2E2E2E"/>
                <w:sz w:val="15"/>
                <w:szCs w:val="15"/>
              </w:rPr>
              <w:t xml:space="preserve">Savant AI Implementation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1D9E75" w:sz="12"/>
              <w:bottom w:val="none" w:sz="0"/>
              <w:right w:val="none" w:sz="0"/>
            </w:tcBorders>
            <w:shd w:fill="E8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0F6E56"/>
                <w:sz w:val="15"/>
                <w:szCs w:val="15"/>
              </w:rPr>
              <w:t xml:space="preserve">Status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E2E2E"/>
                <w:sz w:val="18"/>
                <w:szCs w:val="18"/>
              </w:rPr>
              <w:t xml:space="preserve">Green. Savant platform ($5K/yr) for AI-powered PDF processing of revenue statements. Four-week implementation on track. Justin Shaw providing sample PDFs.</w:t>
            </w:r>
          </w:p>
        </w:tc>
      </w:tr>
    </w:tbl>
    <w:p>
      <w:pPr>
        <w:sectPr>
          <w:headerReference w:type="default" r:id="rId21"/>
          <w:footerReference w:type="default" r:id="rId22"/>
          <w:pgSz w:w="12240" w:h="15840" w:orient="portrait"/>
          <w:pgMar w:top="1000" w:right="1440" w:bottom="800" w:left="144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sz="0"/>
              <w:left w:val="none" w:sz="0"/>
              <w:bottom w:val="none" w:sz="0"/>
              <w:right w:val="none" w:sz="0"/>
            </w:tcBorders>
            <w:shd w:fill="2E2E2E" w:val="clear"/>
            <w:tcMar>
              <w:top w:type="dxa" w:w="160"/>
              <w:left w:type="dxa" w:w="240"/>
              <w:bottom w:type="dxa" w:w="16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Hari Mari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BCBCBC"/>
                <w:sz w:val="17"/>
                <w:szCs w:val="17"/>
              </w:rPr>
              <w:t xml:space="preserve">Weston Baker</w:t>
            </w:r>
          </w:p>
        </w:tc>
        <w:tc>
          <w:tcPr>
            <w:tcW w:type="dxa" w:w="2860"/>
            <w:tcBorders>
              <w:top w:val="none" w:sz="0"/>
              <w:left w:val="none" w:sz="0"/>
              <w:bottom w:val="none" w:sz="0"/>
              <w:right w:val="none" w:sz="0"/>
            </w:tcBorders>
            <w:shd w:fill="FEC700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ACTIVE</w:t>
            </w:r>
          </w:p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2E2E2E"/>
                <w:sz w:val="15"/>
                <w:szCs w:val="15"/>
              </w:rPr>
              <w:t xml:space="preserve">Amazon &amp; E-commerce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1D9E75" w:sz="12"/>
              <w:bottom w:val="none" w:sz="0"/>
              <w:right w:val="none" w:sz="0"/>
            </w:tcBorders>
            <w:shd w:fill="E8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0F6E56"/>
                <w:sz w:val="15"/>
                <w:szCs w:val="15"/>
              </w:rPr>
              <w:t xml:space="preserve">Shipped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E2E2E"/>
                <w:sz w:val="18"/>
                <w:szCs w:val="18"/>
              </w:rPr>
              <w:t xml:space="preserve">Amazon selling model determined unprofitable; pivoting to wholesale and DTC. Account health issues with shipping compliance identified.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D85A30" w:sz="12"/>
              <w:bottom w:val="none" w:sz="0"/>
              <w:right w:val="none" w:sz="0"/>
            </w:tcBorders>
            <w:shd w:fill="FEF0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993C1D"/>
                <w:sz w:val="15"/>
                <w:szCs w:val="15"/>
              </w:rPr>
              <w:t xml:space="preserve">Blocked / at risk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E2E2E"/>
                <w:sz w:val="18"/>
                <w:szCs w:val="18"/>
              </w:rPr>
              <w:t xml:space="preserve">Amazon platform access issues blocking all progress: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color w:val="2E2E2E"/>
                <w:sz w:val="18"/>
                <w:szCs w:val="18"/>
              </w:rPr>
              <w:t xml:space="preserve">Developer API access requires owner permissions from Hortensia/Avi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color w:val="2E2E2E"/>
                <w:sz w:val="18"/>
                <w:szCs w:val="18"/>
              </w:rPr>
              <w:t xml:space="preserve">Password reset and admin access needed for Ops account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color w:val="2E2E2E"/>
                <w:sz w:val="18"/>
                <w:szCs w:val="18"/>
              </w:rPr>
              <w:t xml:space="preserve">Amazon AI altering product pages without authorization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color w:val="2E2E2E"/>
                <w:sz w:val="18"/>
                <w:szCs w:val="18"/>
              </w:rPr>
              <w:t xml:space="preserve">Unauthorized sellers creating vendor conflicts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378ADD" w:sz="12"/>
              <w:bottom w:val="none" w:sz="0"/>
              <w:right w:val="none" w:sz="0"/>
            </w:tcBorders>
            <w:shd w:fill="EBF3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185FA5"/>
                <w:sz w:val="15"/>
                <w:szCs w:val="15"/>
              </w:rPr>
              <w:t xml:space="preserve">Decision needed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8"/>
                <w:szCs w:val="18"/>
              </w:rPr>
              <w:t xml:space="preserve">Continue investing in Amazon?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8"/>
                <w:szCs w:val="18"/>
              </w:rPr>
              <w:t xml:space="preserve">A: Fix and maintain </w:t>
            </w:r>
            <w:r>
              <w:rPr>
                <w:rFonts w:ascii="Calibri" w:cs="Calibri" w:eastAsia="Calibri" w:hAnsi="Calibri"/>
                <w:color w:val="2E2E2E"/>
                <w:sz w:val="18"/>
                <w:szCs w:val="18"/>
              </w:rPr>
              <w:t xml:space="preserve">as reduced-margin channel alongside DTC.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8"/>
                <w:szCs w:val="18"/>
              </w:rPr>
              <w:t xml:space="preserve">B: Wind down </w:t>
            </w:r>
            <w:r>
              <w:rPr>
                <w:rFonts w:ascii="Calibri" w:cs="Calibri" w:eastAsia="Calibri" w:hAnsi="Calibri"/>
                <w:color w:val="2E2E2E"/>
                <w:sz w:val="18"/>
                <w:szCs w:val="18"/>
              </w:rPr>
              <w:t xml:space="preserve">Shift fully to wholesale/DTC. Redirect budget.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C700" w:sz="6"/>
              <w:left w:val="single" w:color="FEC700" w:sz="6"/>
              <w:bottom w:val="single" w:color="FEC700" w:sz="6"/>
              <w:right w:val="single" w:color="FEC700" w:sz="6"/>
            </w:tcBorders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8"/>
                <w:szCs w:val="18"/>
              </w:rPr>
              <w:t xml:space="preserve">Hortensia/Avi must provide API permissions and admin access to proceed.</w:t>
            </w:r>
          </w:p>
        </w:tc>
      </w:tr>
    </w:tbl>
    <w:p>
      <w:pPr>
        <w:sectPr>
          <w:headerReference w:type="default" r:id="rId23"/>
          <w:footerReference w:type="default" r:id="rId24"/>
          <w:pgSz w:w="12240" w:h="15840" w:orient="portrait"/>
          <w:pgMar w:top="1000" w:right="1440" w:bottom="800" w:left="144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sz="0"/>
              <w:left w:val="none" w:sz="0"/>
              <w:bottom w:val="none" w:sz="0"/>
              <w:right w:val="none" w:sz="0"/>
            </w:tcBorders>
            <w:shd w:fill="2E2E2E" w:val="clear"/>
            <w:tcMar>
              <w:top w:type="dxa" w:w="160"/>
              <w:left w:type="dxa" w:w="240"/>
              <w:bottom w:type="dxa" w:w="16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Mos Vita / Mas Vida Health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BCBCBC"/>
                <w:sz w:val="17"/>
                <w:szCs w:val="17"/>
              </w:rPr>
              <w:t xml:space="preserve">Robert Shapiro / Shafi</w:t>
            </w:r>
          </w:p>
        </w:tc>
        <w:tc>
          <w:tcPr>
            <w:tcW w:type="dxa" w:w="2860"/>
            <w:tcBorders>
              <w:top w:val="none" w:sz="0"/>
              <w:left w:val="none" w:sz="0"/>
              <w:bottom w:val="none" w:sz="0"/>
              <w:right w:val="none" w:sz="0"/>
            </w:tcBorders>
            <w:shd w:fill="FEC700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ACTIVE</w:t>
            </w:r>
          </w:p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2E2E2E"/>
                <w:sz w:val="15"/>
                <w:szCs w:val="15"/>
              </w:rPr>
              <w:t xml:space="preserve">Accounting &amp; Inventory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1D9E75" w:sz="12"/>
              <w:bottom w:val="none" w:sz="0"/>
              <w:right w:val="none" w:sz="0"/>
            </w:tcBorders>
            <w:shd w:fill="E8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0F6E56"/>
                <w:sz w:val="15"/>
                <w:szCs w:val="15"/>
              </w:rPr>
              <w:t xml:space="preserve">Shipped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E2E2E"/>
                <w:sz w:val="18"/>
                <w:szCs w:val="18"/>
              </w:rPr>
              <w:t xml:space="preserve">Engagement expanding into extensive inventory reconciliation. Shafi managing execution, Robert overseeing and owning client comms.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D85A30" w:sz="12"/>
              <w:bottom w:val="none" w:sz="0"/>
              <w:right w:val="none" w:sz="0"/>
            </w:tcBorders>
            <w:shd w:fill="FEF0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993C1D"/>
                <w:sz w:val="15"/>
                <w:szCs w:val="15"/>
              </w:rPr>
              <w:t xml:space="preserve">Blocked / at risk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E2E2E"/>
                <w:sz w:val="18"/>
                <w:szCs w:val="18"/>
              </w:rPr>
              <w:t xml:space="preserve">Resource risk from unexpected staff departure: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color w:val="2E2E2E"/>
                <w:sz w:val="18"/>
                <w:szCs w:val="18"/>
              </w:rPr>
              <w:t xml:space="preserve">AP clerk unexpectedly resigned — coverage gap for accounts payable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color w:val="2E2E2E"/>
                <w:sz w:val="18"/>
                <w:szCs w:val="18"/>
              </w:rPr>
              <w:t xml:space="preserve">Inventory reconciliation scope expanding, increasing workload beyond estimate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378ADD" w:sz="12"/>
              <w:bottom w:val="none" w:sz="0"/>
              <w:right w:val="none" w:sz="0"/>
            </w:tcBorders>
            <w:shd w:fill="EBF3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185FA5"/>
                <w:sz w:val="15"/>
                <w:szCs w:val="15"/>
              </w:rPr>
              <w:t xml:space="preserve">Decision needed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8"/>
                <w:szCs w:val="18"/>
              </w:rPr>
              <w:t xml:space="preserve">How to cover the AP gap?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8"/>
                <w:szCs w:val="18"/>
              </w:rPr>
              <w:t xml:space="preserve">A: Sayer interim </w:t>
            </w:r>
            <w:r>
              <w:rPr>
                <w:rFonts w:ascii="Calibri" w:cs="Calibri" w:eastAsia="Calibri" w:hAnsi="Calibri"/>
                <w:color w:val="2E2E2E"/>
                <w:sz w:val="18"/>
                <w:szCs w:val="18"/>
              </w:rPr>
              <w:t xml:space="preserve">AP support. Staff temp resource while Mos Vita hires.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8"/>
                <w:szCs w:val="18"/>
              </w:rPr>
              <w:t xml:space="preserve">B: Client hires </w:t>
            </w:r>
            <w:r>
              <w:rPr>
                <w:rFonts w:ascii="Calibri" w:cs="Calibri" w:eastAsia="Calibri" w:hAnsi="Calibri"/>
                <w:color w:val="2E2E2E"/>
                <w:sz w:val="18"/>
                <w:szCs w:val="18"/>
              </w:rPr>
              <w:t xml:space="preserve">directly. Lower cost but risk of processing delays.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C700" w:sz="6"/>
              <w:left w:val="single" w:color="FEC700" w:sz="6"/>
              <w:bottom w:val="single" w:color="FEC700" w:sz="6"/>
              <w:right w:val="single" w:color="FEC700" w:sz="6"/>
            </w:tcBorders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8"/>
                <w:szCs w:val="18"/>
              </w:rPr>
              <w:t xml:space="preserve">Robert to confirm AP coverage plan with Mos Vita leadership this week.</w:t>
            </w:r>
          </w:p>
        </w:tc>
      </w:tr>
    </w:tbl>
    <w:p>
      <w:pPr>
        <w:sectPr>
          <w:headerReference w:type="default" r:id="rId25"/>
          <w:footerReference w:type="default" r:id="rId26"/>
          <w:pgSz w:w="12240" w:h="15840" w:orient="portrait"/>
          <w:pgMar w:top="1000" w:right="1440" w:bottom="800" w:left="144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sz="0"/>
              <w:left w:val="none" w:sz="0"/>
              <w:bottom w:val="none" w:sz="0"/>
              <w:right w:val="none" w:sz="0"/>
            </w:tcBorders>
            <w:shd w:fill="2E2E2E" w:val="clear"/>
            <w:tcMar>
              <w:top w:type="dxa" w:w="160"/>
              <w:left w:type="dxa" w:w="240"/>
              <w:bottom w:type="dxa" w:w="16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Dewise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BCBCBC"/>
                <w:sz w:val="17"/>
                <w:szCs w:val="17"/>
              </w:rPr>
              <w:t xml:space="preserve">Weston Baker / Greg Dyer</w:t>
            </w:r>
          </w:p>
        </w:tc>
        <w:tc>
          <w:tcPr>
            <w:tcW w:type="dxa" w:w="2860"/>
            <w:tcBorders>
              <w:top w:val="none" w:sz="0"/>
              <w:left w:val="none" w:sz="0"/>
              <w:bottom w:val="none" w:sz="0"/>
              <w:right w:val="none" w:sz="0"/>
            </w:tcBorders>
            <w:shd w:fill="FEC700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GREEN</w:t>
            </w:r>
          </w:p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2E2E2E"/>
                <w:sz w:val="15"/>
                <w:szCs w:val="15"/>
              </w:rPr>
              <w:t xml:space="preserve">Post-Merger Integration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1D9E75" w:sz="12"/>
              <w:bottom w:val="none" w:sz="0"/>
              <w:right w:val="none" w:sz="0"/>
            </w:tcBorders>
            <w:shd w:fill="E8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0F6E56"/>
                <w:sz w:val="15"/>
                <w:szCs w:val="15"/>
              </w:rPr>
              <w:t xml:space="preserve">Status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E2E2E"/>
                <w:sz w:val="18"/>
                <w:szCs w:val="18"/>
              </w:rPr>
              <w:t xml:space="preserve">Green, no blockers. Weekly syncs continuing on schedule. Siddique Mirajwale onboarded. No escalations this week.</w:t>
            </w:r>
          </w:p>
        </w:tc>
      </w:tr>
    </w:tbl>
    <w:p>
      <w:pPr>
        <w:sectPr>
          <w:headerReference w:type="default" r:id="rId27"/>
          <w:footerReference w:type="default" r:id="rId28"/>
          <w:pgSz w:w="12240" w:h="15840" w:orient="portrait"/>
          <w:pgMar w:top="1000" w:right="1440" w:bottom="800" w:left="144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sz="0"/>
              <w:left w:val="none" w:sz="0"/>
              <w:bottom w:val="none" w:sz="0"/>
              <w:right w:val="none" w:sz="0"/>
            </w:tcBorders>
            <w:shd w:fill="2E2E2E" w:val="clear"/>
            <w:tcMar>
              <w:top w:type="dxa" w:w="160"/>
              <w:left w:type="dxa" w:w="240"/>
              <w:bottom w:type="dxa" w:w="16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Epicor Partnership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BCBCBC"/>
                <w:sz w:val="17"/>
                <w:szCs w:val="17"/>
              </w:rPr>
              <w:t xml:space="preserve">Billy Leigh / Terry Hooten</w:t>
            </w:r>
          </w:p>
        </w:tc>
        <w:tc>
          <w:tcPr>
            <w:tcW w:type="dxa" w:w="2860"/>
            <w:tcBorders>
              <w:top w:val="none" w:sz="0"/>
              <w:left w:val="none" w:sz="0"/>
              <w:bottom w:val="none" w:sz="0"/>
              <w:right w:val="none" w:sz="0"/>
            </w:tcBorders>
            <w:shd w:fill="FEC700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ACTIVE</w:t>
            </w:r>
          </w:p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2E2E2E"/>
                <w:sz w:val="15"/>
                <w:szCs w:val="15"/>
              </w:rPr>
              <w:t xml:space="preserve">Channel &amp; Referral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1D9E75" w:sz="12"/>
              <w:bottom w:val="none" w:sz="0"/>
              <w:right w:val="none" w:sz="0"/>
            </w:tcBorders>
            <w:shd w:fill="E8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0F6E56"/>
                <w:sz w:val="15"/>
                <w:szCs w:val="15"/>
              </w:rPr>
              <w:t xml:space="preserve">Shipped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E2E2E"/>
                <w:sz w:val="18"/>
                <w:szCs w:val="18"/>
              </w:rPr>
              <w:t xml:space="preserve">Sayer–Epicor sync complete. Unified comms protocol established. Referral partnership identified. ERP playbook creation initiated.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D85A30" w:sz="12"/>
              <w:bottom w:val="none" w:sz="0"/>
              <w:right w:val="none" w:sz="0"/>
            </w:tcBorders>
            <w:shd w:fill="FEF0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993C1D"/>
                <w:sz w:val="15"/>
                <w:szCs w:val="15"/>
              </w:rPr>
              <w:t xml:space="preserve">Blocked / at risk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E2E2E"/>
                <w:sz w:val="18"/>
                <w:szCs w:val="18"/>
              </w:rPr>
              <w:t xml:space="preserve">Partnership formalization needs follow-through: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color w:val="2E2E2E"/>
                <w:sz w:val="18"/>
                <w:szCs w:val="18"/>
              </w:rPr>
              <w:t xml:space="preserve">Brenda needs to send referral program details to Billy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color w:val="2E2E2E"/>
                <w:sz w:val="18"/>
                <w:szCs w:val="18"/>
              </w:rPr>
              <w:t xml:space="preserve">Dew Point contacted client directly — Epicor must address internally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color w:val="2E2E2E"/>
                <w:sz w:val="18"/>
                <w:szCs w:val="18"/>
              </w:rPr>
              <w:t xml:space="preserve">ERP playbook scoped but not yet built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378ADD" w:sz="12"/>
              <w:bottom w:val="none" w:sz="0"/>
              <w:right w:val="none" w:sz="0"/>
            </w:tcBorders>
            <w:shd w:fill="EBF3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185FA5"/>
                <w:sz w:val="15"/>
                <w:szCs w:val="15"/>
              </w:rPr>
              <w:t xml:space="preserve">Decision needed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8"/>
                <w:szCs w:val="18"/>
              </w:rPr>
              <w:t xml:space="preserve">Formalize the Epicor referral partnership now?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8"/>
                <w:szCs w:val="18"/>
              </w:rPr>
              <w:t xml:space="preserve">A: Formalize now </w:t>
            </w:r>
            <w:r>
              <w:rPr>
                <w:rFonts w:ascii="Calibri" w:cs="Calibri" w:eastAsia="Calibri" w:hAnsi="Calibri"/>
                <w:color w:val="2E2E2E"/>
                <w:sz w:val="18"/>
                <w:szCs w:val="18"/>
              </w:rPr>
              <w:t xml:space="preserve">while momentum is high. Begin referring leads immediately.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8"/>
                <w:szCs w:val="18"/>
              </w:rPr>
              <w:t xml:space="preserve">B: Wait for proof point </w:t>
            </w:r>
            <w:r>
              <w:rPr>
                <w:rFonts w:ascii="Calibri" w:cs="Calibri" w:eastAsia="Calibri" w:hAnsi="Calibri"/>
                <w:color w:val="2E2E2E"/>
                <w:sz w:val="18"/>
                <w:szCs w:val="18"/>
              </w:rPr>
              <w:t xml:space="preserve">Deliver Five Lakes first, then negotiate better terms.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C700" w:sz="6"/>
              <w:left w:val="single" w:color="FEC700" w:sz="6"/>
              <w:bottom w:val="single" w:color="FEC700" w:sz="6"/>
              <w:right w:val="single" w:color="FEC700" w:sz="6"/>
            </w:tcBorders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18"/>
                <w:szCs w:val="18"/>
              </w:rPr>
              <w:t xml:space="preserve">Billy to follow up with Brenda. Schedule ERP playbook working session.</w:t>
            </w:r>
          </w:p>
        </w:tc>
      </w:tr>
    </w:tbl>
    <w:sectPr>
      <w:headerReference w:type="default" r:id="rId29"/>
      <w:footerReference w:type="default" r:id="rId30"/>
      <w:pgSz w:w="12240" w:h="15840" w:orient="portrait"/>
      <w:pgMar w:top="1000" w:right="1440" w:bottom="8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BCBCBC"/>
        <w:sz w:val="14"/>
        <w:szCs w:val="14"/>
      </w:rPr>
      <w:t xml:space="preserve">1 of 12  |  </w:t>
    </w:r>
    <w:r>
      <w:rPr>
        <w:rFonts w:ascii="Calibri" w:cs="Calibri" w:eastAsia="Calibri" w:hAnsi="Calibri"/>
        <w:i/>
        <w:iCs/>
        <w:color w:val="BCBCBC"/>
        <w:sz w:val="14"/>
        <w:szCs w:val="14"/>
      </w:rPr>
      <w:t xml:space="preserve">Internal Use Only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BCBCBC"/>
        <w:sz w:val="14"/>
        <w:szCs w:val="14"/>
      </w:rPr>
      <w:t xml:space="preserve">2 of 12  |  </w:t>
    </w:r>
    <w:r>
      <w:rPr>
        <w:rFonts w:ascii="Calibri" w:cs="Calibri" w:eastAsia="Calibri" w:hAnsi="Calibri"/>
        <w:i/>
        <w:iCs/>
        <w:color w:val="BCBCBC"/>
        <w:sz w:val="14"/>
        <w:szCs w:val="14"/>
      </w:rPr>
      <w:t xml:space="preserve">Internal Use Only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BCBCBC"/>
        <w:sz w:val="14"/>
        <w:szCs w:val="14"/>
      </w:rPr>
      <w:t xml:space="preserve">3 of 12  |  </w:t>
    </w:r>
    <w:r>
      <w:rPr>
        <w:rFonts w:ascii="Calibri" w:cs="Calibri" w:eastAsia="Calibri" w:hAnsi="Calibri"/>
        <w:i/>
        <w:iCs/>
        <w:color w:val="BCBCBC"/>
        <w:sz w:val="14"/>
        <w:szCs w:val="14"/>
      </w:rPr>
      <w:t xml:space="preserve">Internal Use Only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BCBCBC"/>
        <w:sz w:val="14"/>
        <w:szCs w:val="14"/>
      </w:rPr>
      <w:t xml:space="preserve">4 of 12  |  </w:t>
    </w:r>
    <w:r>
      <w:rPr>
        <w:rFonts w:ascii="Calibri" w:cs="Calibri" w:eastAsia="Calibri" w:hAnsi="Calibri"/>
        <w:i/>
        <w:iCs/>
        <w:color w:val="BCBCBC"/>
        <w:sz w:val="14"/>
        <w:szCs w:val="14"/>
      </w:rPr>
      <w:t xml:space="preserve">Internal Use Only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BCBCBC"/>
        <w:sz w:val="14"/>
        <w:szCs w:val="14"/>
      </w:rPr>
      <w:t xml:space="preserve">5 of 12  |  </w:t>
    </w:r>
    <w:r>
      <w:rPr>
        <w:rFonts w:ascii="Calibri" w:cs="Calibri" w:eastAsia="Calibri" w:hAnsi="Calibri"/>
        <w:i/>
        <w:iCs/>
        <w:color w:val="BCBCBC"/>
        <w:sz w:val="14"/>
        <w:szCs w:val="14"/>
      </w:rPr>
      <w:t xml:space="preserve">Internal Use Only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BCBCBC"/>
        <w:sz w:val="14"/>
        <w:szCs w:val="14"/>
      </w:rPr>
      <w:t xml:space="preserve">6 of 12  |  </w:t>
    </w:r>
    <w:r>
      <w:rPr>
        <w:rFonts w:ascii="Calibri" w:cs="Calibri" w:eastAsia="Calibri" w:hAnsi="Calibri"/>
        <w:i/>
        <w:iCs/>
        <w:color w:val="BCBCBC"/>
        <w:sz w:val="14"/>
        <w:szCs w:val="14"/>
      </w:rPr>
      <w:t xml:space="preserve">Internal Use Only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BCBCBC"/>
        <w:sz w:val="14"/>
        <w:szCs w:val="14"/>
      </w:rPr>
      <w:t xml:space="preserve">7 of 12  |  </w:t>
    </w:r>
    <w:r>
      <w:rPr>
        <w:rFonts w:ascii="Calibri" w:cs="Calibri" w:eastAsia="Calibri" w:hAnsi="Calibri"/>
        <w:i/>
        <w:iCs/>
        <w:color w:val="BCBCBC"/>
        <w:sz w:val="14"/>
        <w:szCs w:val="14"/>
      </w:rPr>
      <w:t xml:space="preserve">Internal Use Only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BCBCBC"/>
        <w:sz w:val="14"/>
        <w:szCs w:val="14"/>
      </w:rPr>
      <w:t xml:space="preserve">8 of 12  |  </w:t>
    </w:r>
    <w:r>
      <w:rPr>
        <w:rFonts w:ascii="Calibri" w:cs="Calibri" w:eastAsia="Calibri" w:hAnsi="Calibri"/>
        <w:i/>
        <w:iCs/>
        <w:color w:val="BCBCBC"/>
        <w:sz w:val="14"/>
        <w:szCs w:val="14"/>
      </w:rPr>
      <w:t xml:space="preserve">Internal Use Only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BCBCBC"/>
        <w:sz w:val="14"/>
        <w:szCs w:val="14"/>
      </w:rPr>
      <w:t xml:space="preserve">9 of 12  |  </w:t>
    </w:r>
    <w:r>
      <w:rPr>
        <w:rFonts w:ascii="Calibri" w:cs="Calibri" w:eastAsia="Calibri" w:hAnsi="Calibri"/>
        <w:i/>
        <w:iCs/>
        <w:color w:val="BCBCBC"/>
        <w:sz w:val="14"/>
        <w:szCs w:val="14"/>
      </w:rPr>
      <w:t xml:space="preserve">Internal Use Only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BCBCBC"/>
        <w:sz w:val="14"/>
        <w:szCs w:val="14"/>
      </w:rPr>
      <w:t xml:space="preserve">10 of 12  |  </w:t>
    </w:r>
    <w:r>
      <w:rPr>
        <w:rFonts w:ascii="Calibri" w:cs="Calibri" w:eastAsia="Calibri" w:hAnsi="Calibri"/>
        <w:i/>
        <w:iCs/>
        <w:color w:val="BCBCBC"/>
        <w:sz w:val="14"/>
        <w:szCs w:val="14"/>
      </w:rPr>
      <w:t xml:space="preserve">Internal Use Only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BCBCBC"/>
        <w:sz w:val="14"/>
        <w:szCs w:val="14"/>
      </w:rPr>
      <w:t xml:space="preserve">11 of 12  |  </w:t>
    </w:r>
    <w:r>
      <w:rPr>
        <w:rFonts w:ascii="Calibri" w:cs="Calibri" w:eastAsia="Calibri" w:hAnsi="Calibri"/>
        <w:i/>
        <w:iCs/>
        <w:color w:val="BCBCBC"/>
        <w:sz w:val="14"/>
        <w:szCs w:val="14"/>
      </w:rPr>
      <w:t xml:space="preserve">Internal Use Only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BCBCBC"/>
        <w:sz w:val="14"/>
        <w:szCs w:val="14"/>
      </w:rPr>
      <w:t xml:space="preserve">12 of 12  |  </w:t>
    </w:r>
    <w:r>
      <w:rPr>
        <w:rFonts w:ascii="Calibri" w:cs="Calibri" w:eastAsia="Calibri" w:hAnsi="Calibri"/>
        <w:i/>
        <w:iCs/>
        <w:color w:val="BCBCBC"/>
        <w:sz w:val="14"/>
        <w:szCs w:val="14"/>
      </w:rPr>
      <w:t xml:space="preserve">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rPr>
        <w:rFonts w:ascii="Calibri" w:cs="Calibri" w:eastAsia="Calibri" w:hAnsi="Calibri"/>
        <w:b/>
        <w:bCs/>
        <w:color w:val="FEC700"/>
        <w:sz w:val="16"/>
        <w:szCs w:val="16"/>
      </w:rPr>
      <w:t xml:space="preserve">sayer</w:t>
    </w:r>
    <w:r>
      <w:rPr>
        <w:rFonts w:ascii="Calibri" w:cs="Calibri" w:eastAsia="Calibri" w:hAnsi="Calibri"/>
        <w:color w:val="BCBCBC"/>
        <w:sz w:val="16"/>
        <w:szCs w:val="16"/>
      </w:rPr>
      <w:t xml:space="preserve">   Pre-Read  |  Weekly Project Sync  |  Week of Mar 24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rPr>
        <w:rFonts w:ascii="Calibri" w:cs="Calibri" w:eastAsia="Calibri" w:hAnsi="Calibri"/>
        <w:b/>
        <w:bCs/>
        <w:color w:val="FEC700"/>
        <w:sz w:val="16"/>
        <w:szCs w:val="16"/>
      </w:rPr>
      <w:t xml:space="preserve">sayer</w:t>
    </w:r>
    <w:r>
      <w:rPr>
        <w:rFonts w:ascii="Calibri" w:cs="Calibri" w:eastAsia="Calibri" w:hAnsi="Calibri"/>
        <w:color w:val="BCBCBC"/>
        <w:sz w:val="16"/>
        <w:szCs w:val="16"/>
      </w:rPr>
      <w:t xml:space="preserve">   Pre-Read  |  Weekly Project Sync  |  Week of Mar 24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rPr>
        <w:rFonts w:ascii="Calibri" w:cs="Calibri" w:eastAsia="Calibri" w:hAnsi="Calibri"/>
        <w:b/>
        <w:bCs/>
        <w:color w:val="FEC700"/>
        <w:sz w:val="16"/>
        <w:szCs w:val="16"/>
      </w:rPr>
      <w:t xml:space="preserve">sayer</w:t>
    </w:r>
    <w:r>
      <w:rPr>
        <w:rFonts w:ascii="Calibri" w:cs="Calibri" w:eastAsia="Calibri" w:hAnsi="Calibri"/>
        <w:color w:val="BCBCBC"/>
        <w:sz w:val="16"/>
        <w:szCs w:val="16"/>
      </w:rPr>
      <w:t xml:space="preserve">   Pre-Read  |  Weekly Project Sync  |  Week of Mar 24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rPr>
        <w:rFonts w:ascii="Calibri" w:cs="Calibri" w:eastAsia="Calibri" w:hAnsi="Calibri"/>
        <w:b/>
        <w:bCs/>
        <w:color w:val="FEC700"/>
        <w:sz w:val="16"/>
        <w:szCs w:val="16"/>
      </w:rPr>
      <w:t xml:space="preserve">sayer</w:t>
    </w:r>
    <w:r>
      <w:rPr>
        <w:rFonts w:ascii="Calibri" w:cs="Calibri" w:eastAsia="Calibri" w:hAnsi="Calibri"/>
        <w:color w:val="BCBCBC"/>
        <w:sz w:val="16"/>
        <w:szCs w:val="16"/>
      </w:rPr>
      <w:t xml:space="preserve">   Pre-Read  |  Weekly Project Sync  |  Week of Mar 24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rPr>
        <w:rFonts w:ascii="Calibri" w:cs="Calibri" w:eastAsia="Calibri" w:hAnsi="Calibri"/>
        <w:b/>
        <w:bCs/>
        <w:color w:val="FEC700"/>
        <w:sz w:val="16"/>
        <w:szCs w:val="16"/>
      </w:rPr>
      <w:t xml:space="preserve">sayer</w:t>
    </w:r>
    <w:r>
      <w:rPr>
        <w:rFonts w:ascii="Calibri" w:cs="Calibri" w:eastAsia="Calibri" w:hAnsi="Calibri"/>
        <w:color w:val="BCBCBC"/>
        <w:sz w:val="16"/>
        <w:szCs w:val="16"/>
      </w:rPr>
      <w:t xml:space="preserve">   Pre-Read  |  Weekly Project Sync  |  Week of Mar 24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rPr>
        <w:rFonts w:ascii="Calibri" w:cs="Calibri" w:eastAsia="Calibri" w:hAnsi="Calibri"/>
        <w:b/>
        <w:bCs/>
        <w:color w:val="FEC700"/>
        <w:sz w:val="16"/>
        <w:szCs w:val="16"/>
      </w:rPr>
      <w:t xml:space="preserve">sayer</w:t>
    </w:r>
    <w:r>
      <w:rPr>
        <w:rFonts w:ascii="Calibri" w:cs="Calibri" w:eastAsia="Calibri" w:hAnsi="Calibri"/>
        <w:color w:val="BCBCBC"/>
        <w:sz w:val="16"/>
        <w:szCs w:val="16"/>
      </w:rPr>
      <w:t xml:space="preserve">   Pre-Read  |  Weekly Project Sync  |  Week of Mar 24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rPr>
        <w:rFonts w:ascii="Calibri" w:cs="Calibri" w:eastAsia="Calibri" w:hAnsi="Calibri"/>
        <w:b/>
        <w:bCs/>
        <w:color w:val="FEC700"/>
        <w:sz w:val="16"/>
        <w:szCs w:val="16"/>
      </w:rPr>
      <w:t xml:space="preserve">sayer</w:t>
    </w:r>
    <w:r>
      <w:rPr>
        <w:rFonts w:ascii="Calibri" w:cs="Calibri" w:eastAsia="Calibri" w:hAnsi="Calibri"/>
        <w:color w:val="BCBCBC"/>
        <w:sz w:val="16"/>
        <w:szCs w:val="16"/>
      </w:rPr>
      <w:t xml:space="preserve">   Pre-Read  |  Weekly Project Sync  |  Week of Mar 24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rPr>
        <w:rFonts w:ascii="Calibri" w:cs="Calibri" w:eastAsia="Calibri" w:hAnsi="Calibri"/>
        <w:b/>
        <w:bCs/>
        <w:color w:val="FEC700"/>
        <w:sz w:val="16"/>
        <w:szCs w:val="16"/>
      </w:rPr>
      <w:t xml:space="preserve">sayer</w:t>
    </w:r>
    <w:r>
      <w:rPr>
        <w:rFonts w:ascii="Calibri" w:cs="Calibri" w:eastAsia="Calibri" w:hAnsi="Calibri"/>
        <w:color w:val="BCBCBC"/>
        <w:sz w:val="16"/>
        <w:szCs w:val="16"/>
      </w:rPr>
      <w:t xml:space="preserve">   Pre-Read  |  Weekly Project Sync  |  Week of Mar 24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rPr>
        <w:rFonts w:ascii="Calibri" w:cs="Calibri" w:eastAsia="Calibri" w:hAnsi="Calibri"/>
        <w:b/>
        <w:bCs/>
        <w:color w:val="FEC700"/>
        <w:sz w:val="16"/>
        <w:szCs w:val="16"/>
      </w:rPr>
      <w:t xml:space="preserve">sayer</w:t>
    </w:r>
    <w:r>
      <w:rPr>
        <w:rFonts w:ascii="Calibri" w:cs="Calibri" w:eastAsia="Calibri" w:hAnsi="Calibri"/>
        <w:color w:val="BCBCBC"/>
        <w:sz w:val="16"/>
        <w:szCs w:val="16"/>
      </w:rPr>
      <w:t xml:space="preserve">   Pre-Read  |  Weekly Project Sync  |  Week of Mar 24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rPr>
        <w:rFonts w:ascii="Calibri" w:cs="Calibri" w:eastAsia="Calibri" w:hAnsi="Calibri"/>
        <w:b/>
        <w:bCs/>
        <w:color w:val="FEC700"/>
        <w:sz w:val="16"/>
        <w:szCs w:val="16"/>
      </w:rPr>
      <w:t xml:space="preserve">sayer</w:t>
    </w:r>
    <w:r>
      <w:rPr>
        <w:rFonts w:ascii="Calibri" w:cs="Calibri" w:eastAsia="Calibri" w:hAnsi="Calibri"/>
        <w:color w:val="BCBCBC"/>
        <w:sz w:val="16"/>
        <w:szCs w:val="16"/>
      </w:rPr>
      <w:t xml:space="preserve">   Pre-Read  |  Weekly Project Sync  |  Week of Mar 24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rPr>
        <w:rFonts w:ascii="Calibri" w:cs="Calibri" w:eastAsia="Calibri" w:hAnsi="Calibri"/>
        <w:b/>
        <w:bCs/>
        <w:color w:val="FEC700"/>
        <w:sz w:val="16"/>
        <w:szCs w:val="16"/>
      </w:rPr>
      <w:t xml:space="preserve">sayer</w:t>
    </w:r>
    <w:r>
      <w:rPr>
        <w:rFonts w:ascii="Calibri" w:cs="Calibri" w:eastAsia="Calibri" w:hAnsi="Calibri"/>
        <w:color w:val="BCBCBC"/>
        <w:sz w:val="16"/>
        <w:szCs w:val="16"/>
      </w:rPr>
      <w:t xml:space="preserve">   Pre-Read  |  Weekly Project Sync  |  Week of Mar 24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rPr>
        <w:rFonts w:ascii="Calibri" w:cs="Calibri" w:eastAsia="Calibri" w:hAnsi="Calibri"/>
        <w:b/>
        <w:bCs/>
        <w:color w:val="FEC700"/>
        <w:sz w:val="16"/>
        <w:szCs w:val="16"/>
      </w:rPr>
      <w:t xml:space="preserve">sayer</w:t>
    </w:r>
    <w:r>
      <w:rPr>
        <w:rFonts w:ascii="Calibri" w:cs="Calibri" w:eastAsia="Calibri" w:hAnsi="Calibri"/>
        <w:color w:val="BCBCBC"/>
        <w:sz w:val="16"/>
        <w:szCs w:val="16"/>
      </w:rPr>
      <w:t xml:space="preserve">   Pre-Read  |  Weekly Project Sync  |  Week of Mar 24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footer" Target="footer11.xml"/><Relationship Id="rId29" Type="http://schemas.openxmlformats.org/officeDocument/2006/relationships/header" Target="header12.xml"/><Relationship Id="rId30" Type="http://schemas.openxmlformats.org/officeDocument/2006/relationships/footer" Target="footer12.xml"/><Relationship Id="rId3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word/_rels/header1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2026-03-27T15:43:32.917Z</dcterms:created>
  <dcterms:modified xsi:type="dcterms:W3CDTF">2026-03-27T15:43:32.917Z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