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4"/>
          <w:szCs w:val="44"/>
        </w:rPr>
        <w:t xml:space="preserve">코드 주석 작성 규칙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진동측정 앱 개발 (Dart · Kotlin)</w:t>
      </w:r>
    </w:p>
    <w:tbl>
      <w:tblPr>
        <w:tblW w:type="dxa" w:w="9638"/>
        <w:jc w:val="center"/>
        <w:tblBorders>
          <w:top w:val="single" w:color="1F3864" w:sz="4"/>
          <w:left w:val="none"/>
          <w:bottom w:val="single" w:color="1F3864" w:sz="4"/>
          <w:right w:val="none"/>
          <w:insideH w:val="single" w:color="D9D9D9" w:sz="2"/>
          <w:insideV w:val="single" w:color="F0F0F0" w:sz="2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41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작성일</w:t>
            </w:r>
          </w:p>
        </w:tc>
        <w:tc>
          <w:tcPr>
            <w:tcW w:type="dxa" w:w="722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2026년 8월 5일</w:t>
            </w:r>
          </w:p>
        </w:tc>
      </w:tr>
      <w:tr>
        <w:tc>
          <w:tcPr>
            <w:tcW w:type="dxa" w:w="241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적용 대상</w:t>
            </w:r>
          </w:p>
        </w:tc>
        <w:tc>
          <w:tcPr>
            <w:tcW w:type="dxa" w:w="722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진동측정 앱 전체 코드 (Dart, Kotlin)</w:t>
            </w:r>
          </w:p>
        </w:tc>
      </w:tr>
      <w:tr>
        <w:tc>
          <w:tcPr>
            <w:tcW w:type="dxa" w:w="241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확정 예정</w:t>
            </w:r>
          </w:p>
        </w:tc>
        <w:tc>
          <w:tcPr>
            <w:tcW w:type="dxa" w:w="722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2026년 8월 6일 회의</w:t>
            </w:r>
          </w:p>
        </w:tc>
      </w:tr>
    </w:tbl>
    <w:p>
      <w:pPr>
        <w:spacing w:after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1"/>
        <w:pBdr>
          <w:bottom w:val="single" w:color="1F3864" w:sz="14" w:space="6"/>
        </w:pBdr>
        <w:spacing w:after="220" w:before="360" w:lin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규칙 요약</w:t>
      </w:r>
    </w:p>
    <w:p>
      <w:pPr>
        <w:pStyle w:val="Heading2"/>
        <w:pBdr>
          <w:bottom w:val="single" w:color="D0D0D0" w:sz="6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기본 작성 형태</w:t>
      </w:r>
    </w:p>
    <w:p>
      <w:pPr>
        <w:spacing w:after="10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수치를 산출하는 함수에는 아래 네 줄을 기재한다.</w:t>
      </w:r>
    </w:p>
    <w:tbl>
      <w:tblPr>
        <w:tblW w:type="dxa" w:w="9638"/>
        <w:jc w:val="center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2F2F2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7D32"/>
                <w:sz w:val="17"/>
                <w:szCs w:val="17"/>
              </w:rPr>
              <w:t xml:space="preserve">/// 목적: 앞뒤 샘플의 시간 간격을 산출한다.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7D32"/>
                <w:sz w:val="17"/>
                <w:szCs w:val="17"/>
              </w:rPr>
              <w:t xml:space="preserve">/// 인자: samples — 시각이 정리된 샘플 목록 (2개 이상)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7D32"/>
                <w:sz w:val="17"/>
                <w:szCs w:val="17"/>
              </w:rPr>
              <w:t xml:space="preserve">/// 반환: 간격 목록 (마이크로초). 샘플이 2개 미만인 경우 빈 목록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7D32"/>
                <w:sz w:val="17"/>
                <w:szCs w:val="17"/>
              </w:rPr>
              <w:t xml:space="preserve">/// 근거: 표준 — ISO 8041-1:2017, 6.2절 표 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List&lt;int&gt; intervalsUs(List&lt;Sample&gt; samples)</w:t>
            </w:r>
          </w:p>
        </w:tc>
      </w:tr>
    </w:tbl>
    <w:p>
      <w:pPr>
        <w:spacing w:after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638"/>
        <w:jc w:val="center"/>
        <w:tblBorders>
          <w:top w:val="single" w:color="1F3864" w:sz="4"/>
          <w:left w:val="none"/>
          <w:bottom w:val="single" w:color="1F3864" w:sz="4"/>
          <w:right w:val="none"/>
          <w:insideH w:val="single" w:color="D9D9D9" w:sz="2"/>
          <w:insideV w:val="single" w:color="F0F0F0" w:sz="2"/>
        </w:tblBorders>
      </w:tblPr>
      <w:tblGrid>
        <w:gridCol w:w="964"/>
        <w:gridCol w:w="4131"/>
        <w:gridCol w:w="4543"/>
      </w:tblGrid>
      <w:tr>
        <w:trPr>
          <w:tblHeader/>
        </w:trPr>
        <w:tc>
          <w:tcPr>
            <w:tcW w:type="dxa" w:w="964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4131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기재 내용</w:t>
            </w:r>
          </w:p>
        </w:tc>
        <w:tc>
          <w:tcPr>
            <w:tcW w:type="dxa" w:w="4543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위 예시의 해당 부분</w:t>
            </w:r>
          </w:p>
        </w:tc>
      </w:tr>
      <w:tr>
        <w:tc>
          <w:tcPr>
            <w:tcW w:type="dxa" w:w="96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목적:</w:t>
            </w:r>
          </w:p>
        </w:tc>
        <w:tc>
          <w:tcPr>
            <w:tcW w:type="dxa" w:w="413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함수가 무엇을 하는지</w:t>
            </w:r>
          </w:p>
        </w:tc>
        <w:tc>
          <w:tcPr>
            <w:tcW w:type="dxa" w:w="454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앞뒤 샘플의 시간 간격을 산출한다</w:t>
            </w:r>
          </w:p>
        </w:tc>
      </w:tr>
      <w:tr>
        <w:tc>
          <w:tcPr>
            <w:tcW w:type="dxa" w:w="96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인자:</w:t>
            </w:r>
          </w:p>
        </w:tc>
        <w:tc>
          <w:tcPr>
            <w:tcW w:type="dxa" w:w="413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인자명 — 의미 (단위), 유효 범위</w:t>
            </w:r>
          </w:p>
        </w:tc>
        <w:tc>
          <w:tcPr>
            <w:tcW w:type="dxa" w:w="454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samples — 샘플 목록 (2개 이상)</w:t>
            </w:r>
          </w:p>
        </w:tc>
      </w:tr>
      <w:tr>
        <w:tc>
          <w:tcPr>
            <w:tcW w:type="dxa" w:w="96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반환:</w:t>
            </w:r>
          </w:p>
        </w:tc>
        <w:tc>
          <w:tcPr>
            <w:tcW w:type="dxa" w:w="413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반환값의 의미 (단위), 예외 시 동작</w:t>
            </w:r>
          </w:p>
        </w:tc>
        <w:tc>
          <w:tcPr>
            <w:tcW w:type="dxa" w:w="454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간격 목록 (마이크로초), 2개 미만이면 빈 목록</w:t>
            </w:r>
          </w:p>
        </w:tc>
      </w:tr>
      <w:tr>
        <w:tc>
          <w:tcPr>
            <w:tcW w:type="dxa" w:w="96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근거:</w:t>
            </w:r>
          </w:p>
        </w:tc>
        <w:tc>
          <w:tcPr>
            <w:tcW w:type="dxa" w:w="413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해당 방식 또는 값의 출처</w:t>
            </w:r>
          </w:p>
        </w:tc>
        <w:tc>
          <w:tcPr>
            <w:tcW w:type="dxa" w:w="454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ISO 8041-1:2017, 6.2절 표 3</w:t>
            </w:r>
          </w:p>
        </w:tc>
      </w:tr>
      <w:tr>
        <w:tc>
          <w:tcPr>
            <w:tcW w:type="dxa" w:w="96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식:</w:t>
            </w:r>
          </w:p>
        </w:tc>
        <w:tc>
          <w:tcPr>
            <w:tcW w:type="dxa" w:w="413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수식을 차용한 경우에만 추가 기재</w:t>
            </w:r>
          </w:p>
        </w:tc>
        <w:tc>
          <w:tcPr>
            <w:tcW w:type="dxa" w:w="454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해당 없음</w:t>
            </w:r>
          </w:p>
        </w:tc>
      </w:tr>
    </w:tbl>
    <w:p>
      <w:pPr>
        <w:pStyle w:val="Heading2"/>
        <w:pBdr>
          <w:bottom w:val="single" w:color="D0D0D0" w:sz="6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함수별 기재 분량</w:t>
      </w:r>
    </w:p>
    <w:tbl>
      <w:tblPr>
        <w:tblW w:type="dxa" w:w="9638"/>
        <w:jc w:val="center"/>
        <w:tblBorders>
          <w:top w:val="single" w:color="1F3864" w:sz="4"/>
          <w:left w:val="none"/>
          <w:bottom w:val="single" w:color="1F3864" w:sz="4"/>
          <w:right w:val="none"/>
          <w:insideH w:val="single" w:color="D9D9D9" w:sz="2"/>
          <w:insideV w:val="single" w:color="F0F0F0" w:sz="2"/>
        </w:tblBorders>
      </w:tblPr>
      <w:tblGrid>
        <w:gridCol w:w="4957"/>
        <w:gridCol w:w="4681"/>
      </w:tblGrid>
      <w:tr>
        <w:trPr>
          <w:tblHeader/>
        </w:trPr>
        <w:tc>
          <w:tcPr>
            <w:tcW w:type="dxa" w:w="4957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함수 구분</w:t>
            </w:r>
          </w:p>
        </w:tc>
        <w:tc>
          <w:tcPr>
            <w:tcW w:type="dxa" w:w="4681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기재 내용</w:t>
            </w:r>
          </w:p>
        </w:tc>
      </w:tr>
      <w:tr>
        <w:tc>
          <w:tcPr>
            <w:tcW w:type="dxa" w:w="495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수치를 산출하여 반환하는 함수</w:t>
            </w:r>
          </w:p>
        </w:tc>
        <w:tc>
          <w:tcPr>
            <w:tcW w:type="dxa" w:w="468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위 네 줄</w:t>
            </w:r>
          </w:p>
        </w:tc>
      </w:tr>
      <w:tr>
        <w:tc>
          <w:tcPr>
            <w:tcW w:type="dxa" w:w="495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수식·상수를 외부에서 차용한 함수</w:t>
            </w:r>
          </w:p>
        </w:tc>
        <w:tc>
          <w:tcPr>
            <w:tcW w:type="dxa" w:w="468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위 네 줄 + 「식:」</w:t>
            </w:r>
          </w:p>
        </w:tc>
      </w:tr>
      <w:tr>
        <w:tc>
          <w:tcPr>
            <w:tcW w:type="dxa" w:w="495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데이터를 전달하거나 상태를 변경하는 함수</w:t>
            </w:r>
          </w:p>
        </w:tc>
        <w:tc>
          <w:tcPr>
            <w:tcW w:type="dxa" w:w="468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「목적:」 한 줄</w:t>
            </w:r>
          </w:p>
        </w:tc>
      </w:tr>
      <w:tr>
        <w:tc>
          <w:tcPr>
            <w:tcW w:type="dxa" w:w="495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내부에서만 사용하는 보조 함수</w:t>
            </w:r>
          </w:p>
        </w:tc>
        <w:tc>
          <w:tcPr>
            <w:tcW w:type="dxa" w:w="468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기재하지 않음</w:t>
            </w:r>
          </w:p>
        </w:tc>
      </w:tr>
    </w:tbl>
    <w:p>
      <w:pPr>
        <w:pStyle w:val="Heading2"/>
        <w:pBdr>
          <w:bottom w:val="single" w:color="D0D0D0" w:sz="6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3. 그 외 규칙</w:t>
      </w:r>
    </w:p>
    <w:tbl>
      <w:tblPr>
        <w:tblW w:type="dxa" w:w="9638"/>
        <w:jc w:val="center"/>
        <w:tblBorders>
          <w:top w:val="single" w:color="1F3864" w:sz="4"/>
          <w:left w:val="none"/>
          <w:bottom w:val="single" w:color="1F3864" w:sz="4"/>
          <w:right w:val="none"/>
          <w:insideH w:val="single" w:color="D9D9D9" w:sz="2"/>
          <w:insideV w:val="single" w:color="F0F0F0" w:sz="2"/>
        </w:tblBorders>
      </w:tblPr>
      <w:tblGrid>
        <w:gridCol w:w="1502"/>
        <w:gridCol w:w="4256"/>
        <w:gridCol w:w="3880"/>
      </w:tblGrid>
      <w:tr>
        <w:trPr>
          <w:tblHeader/>
        </w:trPr>
        <w:tc>
          <w:tcPr>
            <w:tcW w:type="dxa" w:w="1502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4256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규칙</w:t>
            </w:r>
          </w:p>
        </w:tc>
        <w:tc>
          <w:tcPr>
            <w:tcW w:type="dxa" w:w="3880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예</w:t>
            </w:r>
          </w:p>
        </w:tc>
      </w:tr>
      <w:tr>
        <w:tc>
          <w:tcPr>
            <w:tcW w:type="dxa" w:w="150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명명</w:t>
            </w:r>
          </w:p>
        </w:tc>
        <w:tc>
          <w:tcPr>
            <w:tcW w:type="dxa" w:w="425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값 이름 뒤에 단위를 표기한다</w:t>
            </w:r>
          </w:p>
        </w:tc>
        <w:tc>
          <w:tcPr>
            <w:tcW w:type="dxa" w:w="388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interval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2E7D32"/>
                <w:sz w:val="18"/>
                <w:szCs w:val="18"/>
              </w:rPr>
              <w:t xml:space="preserve">intervalUs</w:t>
            </w:r>
          </w:p>
        </w:tc>
      </w:tr>
      <w:tr>
        <w:tc>
          <w:tcPr>
            <w:tcW w:type="dxa" w:w="150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상수</w:t>
            </w:r>
          </w:p>
        </w:tc>
        <w:tc>
          <w:tcPr>
            <w:tcW w:type="dxa" w:w="425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수치는 설정 파일에만 기재한다</w:t>
            </w:r>
          </w:p>
        </w:tc>
        <w:tc>
          <w:tcPr>
            <w:tcW w:type="dxa" w:w="388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256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2E7D32"/>
                <w:sz w:val="18"/>
                <w:szCs w:val="18"/>
              </w:rPr>
              <w:t xml:space="preserve">config.sampleRateHz</w:t>
            </w:r>
          </w:p>
        </w:tc>
      </w:tr>
      <w:tr>
        <w:tc>
          <w:tcPr>
            <w:tcW w:type="dxa" w:w="150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출처</w:t>
            </w:r>
          </w:p>
        </w:tc>
        <w:tc>
          <w:tcPr>
            <w:tcW w:type="dxa" w:w="425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문헌명만 기재하지 않고 절·표 번호까지 기재한다</w:t>
            </w:r>
          </w:p>
        </w:tc>
        <w:tc>
          <w:tcPr>
            <w:tcW w:type="dxa" w:w="388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ISO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2E7D32"/>
                <w:sz w:val="18"/>
                <w:szCs w:val="18"/>
              </w:rPr>
              <w:t xml:space="preserve">ISO 8041-1:2017 6.2절</w:t>
            </w:r>
          </w:p>
        </w:tc>
      </w:tr>
      <w:tr>
        <w:tc>
          <w:tcPr>
            <w:tcW w:type="dxa" w:w="150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근거 미정</w:t>
            </w:r>
          </w:p>
        </w:tc>
        <w:tc>
          <w:tcPr>
            <w:tcW w:type="dxa" w:w="425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임의의 근거를 부여하지 않고 담당자·기한과 함께 표기한다</w:t>
            </w:r>
          </w:p>
        </w:tc>
        <w:tc>
          <w:tcPr>
            <w:tcW w:type="dxa" w:w="388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E7D32"/>
                <w:sz w:val="18"/>
                <w:szCs w:val="18"/>
              </w:rPr>
              <w:t xml:space="preserve">근거: 미정 — 담당자, 기한</w:t>
            </w:r>
          </w:p>
        </w:tc>
      </w:tr>
      <w:tr>
        <w:tc>
          <w:tcPr>
            <w:tcW w:type="dxa" w:w="150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AI 생성 코드</w:t>
            </w:r>
          </w:p>
        </w:tc>
        <w:tc>
          <w:tcPr>
            <w:tcW w:type="dxa" w:w="425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수치 대조 완료 전까지 표기를 유지한다</w:t>
            </w:r>
          </w:p>
        </w:tc>
        <w:tc>
          <w:tcPr>
            <w:tcW w:type="dxa" w:w="388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/// 확인: 안 함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4" w:space="6"/>
        </w:pBdr>
        <w:spacing w:after="220" w:before="360" w:lin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본문</w:t>
      </w:r>
    </w:p>
    <w:p>
      <w:pPr>
        <w:pStyle w:val="Heading2"/>
        <w:pBdr>
          <w:bottom w:val="single" w:color="D0D0D0" w:sz="6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적용 기준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2E75B6"/>
          <w:sz w:val="21"/>
          <w:szCs w:val="21"/>
        </w:rPr>
        <w:t xml:space="preserve">1-1. 목적</w:t>
      </w:r>
    </w:p>
    <w:p>
      <w:pPr>
        <w:spacing w:after="10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규칙은 작성된 코드의 기능과 근거를 코드 열람 없이 설명할 수 있는 상태를 유지하는 것을 목적으로 한다.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2E75B6"/>
          <w:sz w:val="21"/>
          <w:szCs w:val="21"/>
        </w:rPr>
        <w:t xml:space="preserve">1-2. 충분성 판정</w:t>
      </w:r>
    </w:p>
    <w:p>
      <w:pPr>
        <w:spacing w:after="10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주석의 충분성은 다음 기준으로 판정한다.</w:t>
      </w:r>
    </w:p>
    <w:tbl>
      <w:tblPr>
        <w:tblW w:type="dxa" w:w="9638"/>
        <w:jc w:val="center"/>
        <w:tblBorders>
          <w:top w:val="single" w:color="1F3864" w:sz="4"/>
          <w:left w:val="none"/>
          <w:bottom w:val="single" w:color="1F3864" w:sz="4"/>
          <w:right w:val="none"/>
          <w:insideH w:val="single" w:color="D9D9D9" w:sz="2"/>
          <w:insideV w:val="single" w:color="F0F0F0" w:sz="2"/>
        </w:tblBorders>
      </w:tblPr>
      <w:tblGrid>
        <w:gridCol w:w="2065"/>
        <w:gridCol w:w="7573"/>
      </w:tblGrid>
      <w:tr>
        <w:trPr>
          <w:tblHeader/>
        </w:trPr>
        <w:tc>
          <w:tcPr>
            <w:tcW w:type="dxa" w:w="2065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7573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기준</w:t>
            </w:r>
          </w:p>
        </w:tc>
      </w:tr>
      <w:tr>
        <w:tc>
          <w:tcPr>
            <w:tcW w:type="dxa" w:w="206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판정 대상</w:t>
            </w:r>
          </w:p>
        </w:tc>
        <w:tc>
          <w:tcPr>
            <w:tcW w:type="dxa" w:w="757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본 프로젝트에 관여하지 않은 제3자</w:t>
            </w:r>
          </w:p>
        </w:tc>
      </w:tr>
      <w:tr>
        <w:tc>
          <w:tcPr>
            <w:tcW w:type="dxa" w:w="206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판정 방법</w:t>
            </w:r>
          </w:p>
        </w:tc>
        <w:tc>
          <w:tcPr>
            <w:tcW w:type="dxa" w:w="757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해당 주석만을 제시하고 내용 파악 여부를 확인한다</w:t>
            </w:r>
          </w:p>
        </w:tc>
      </w:tr>
      <w:tr>
        <w:tc>
          <w:tcPr>
            <w:tcW w:type="dxa" w:w="206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통과 조건</w:t>
            </w:r>
          </w:p>
        </w:tc>
        <w:tc>
          <w:tcPr>
            <w:tcW w:type="dxa" w:w="757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함수의 기능, 해당 방식을 채택한 근거, 반환값의 의미를 모두 파악할 수 있을 것</w:t>
            </w:r>
          </w:p>
        </w:tc>
      </w:tr>
    </w:tbl>
    <w:p>
      <w:pPr>
        <w:spacing w:after="14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작성자 본인은 내용을 이미 인지하고 있어 판정이 성립하지 않는다. 판정은 반드시 제3자를 통해 수행한다.</w:t>
      </w:r>
    </w:p>
    <w:p>
      <w:pPr>
        <w:pStyle w:val="Heading2"/>
        <w:pBdr>
          <w:bottom w:val="single" w:color="D0D0D0" w:sz="6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주석 등급</w:t>
      </w:r>
    </w:p>
    <w:p>
      <w:pPr>
        <w:spacing w:after="10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함수의 성격에 따라 아래 등급을 적용한다.</w:t>
      </w:r>
    </w:p>
    <w:tbl>
      <w:tblPr>
        <w:tblW w:type="dxa" w:w="9638"/>
        <w:jc w:val="center"/>
        <w:tblBorders>
          <w:top w:val="single" w:color="1F3864" w:sz="4"/>
          <w:left w:val="none"/>
          <w:bottom w:val="single" w:color="1F3864" w:sz="4"/>
          <w:right w:val="none"/>
          <w:insideH w:val="single" w:color="D9D9D9" w:sz="2"/>
          <w:insideV w:val="single" w:color="F0F0F0" w:sz="2"/>
        </w:tblBorders>
      </w:tblPr>
      <w:tblGrid>
        <w:gridCol w:w="826"/>
        <w:gridCol w:w="4957"/>
        <w:gridCol w:w="3855"/>
      </w:tblGrid>
      <w:tr>
        <w:trPr>
          <w:tblHeader/>
        </w:trPr>
        <w:tc>
          <w:tcPr>
            <w:tcW w:type="dxa" w:w="826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등급</w:t>
            </w:r>
          </w:p>
        </w:tc>
        <w:tc>
          <w:tcPr>
            <w:tcW w:type="dxa" w:w="4957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대상 함수</w:t>
            </w:r>
          </w:p>
        </w:tc>
        <w:tc>
          <w:tcPr>
            <w:tcW w:type="dxa" w:w="3855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기재 항목</w:t>
            </w:r>
          </w:p>
        </w:tc>
      </w:tr>
      <w:tr>
        <w:tc>
          <w:tcPr>
            <w:tcW w:type="dxa" w:w="8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95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수치를 산출하여 반환하는 함수</w:t>
            </w:r>
          </w:p>
        </w:tc>
        <w:tc>
          <w:tcPr>
            <w:tcW w:type="dxa" w:w="385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목적 · 인자 · 반환 · 근거</w:t>
            </w:r>
          </w:p>
        </w:tc>
      </w:tr>
      <w:tr>
        <w:tc>
          <w:tcPr>
            <w:tcW w:type="dxa" w:w="8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1+</w:t>
            </w:r>
          </w:p>
        </w:tc>
        <w:tc>
          <w:tcPr>
            <w:tcW w:type="dxa" w:w="495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등급 1 중 수식 또는 상수를 외부에서 차용한 함수</w:t>
            </w:r>
          </w:p>
        </w:tc>
        <w:tc>
          <w:tcPr>
            <w:tcW w:type="dxa" w:w="385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등급 1 항목 + 「식:」</w:t>
            </w:r>
          </w:p>
        </w:tc>
      </w:tr>
      <w:tr>
        <w:tc>
          <w:tcPr>
            <w:tcW w:type="dxa" w:w="8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95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데이터를 전달하거나 상태를 변경하는 함수</w:t>
            </w:r>
          </w:p>
        </w:tc>
        <w:tc>
          <w:tcPr>
            <w:tcW w:type="dxa" w:w="385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목적 (1행)</w:t>
            </w:r>
          </w:p>
        </w:tc>
      </w:tr>
      <w:tr>
        <w:tc>
          <w:tcPr>
            <w:tcW w:type="dxa" w:w="8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95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내부에서만 사용하는 보조 함수</w:t>
            </w:r>
          </w:p>
        </w:tc>
        <w:tc>
          <w:tcPr>
            <w:tcW w:type="dxa" w:w="385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기재하지 않음</w:t>
            </w:r>
          </w:p>
        </w:tc>
      </w:tr>
    </w:tbl>
    <w:p>
      <w:pPr>
        <w:spacing w:after="14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 w:before="0" w:line="276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등급 구분의 근거는 부록 A-1, 등급별 작성 예시는 부록 B-1 ~ B-4를 참조한다.</w:t>
      </w:r>
    </w:p>
    <w:p>
      <w:pPr>
        <w:pStyle w:val="Heading2"/>
        <w:pBdr>
          <w:bottom w:val="single" w:color="D0D0D0" w:sz="6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3. 주석 구성 항목</w:t>
      </w:r>
    </w:p>
    <w:tbl>
      <w:tblPr>
        <w:tblW w:type="dxa" w:w="9638"/>
        <w:jc w:val="center"/>
        <w:tblBorders>
          <w:top w:val="single" w:color="1F3864" w:sz="4"/>
          <w:left w:val="none"/>
          <w:bottom w:val="single" w:color="1F3864" w:sz="4"/>
          <w:right w:val="none"/>
          <w:insideH w:val="single" w:color="D9D9D9" w:sz="2"/>
          <w:insideV w:val="single" w:color="F0F0F0" w:sz="2"/>
        </w:tblBorders>
      </w:tblPr>
      <w:tblGrid>
        <w:gridCol w:w="1257"/>
        <w:gridCol w:w="8381"/>
      </w:tblGrid>
      <w:tr>
        <w:trPr>
          <w:tblHeader/>
        </w:trPr>
        <w:tc>
          <w:tcPr>
            <w:tcW w:type="dxa" w:w="1257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8381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기재 내용</w:t>
            </w:r>
          </w:p>
        </w:tc>
      </w:tr>
      <w:tr>
        <w:tc>
          <w:tcPr>
            <w:tcW w:type="dxa" w:w="125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목적:</w:t>
            </w:r>
          </w:p>
        </w:tc>
        <w:tc>
          <w:tcPr>
            <w:tcW w:type="dxa" w:w="838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함수가 수행하는 내용 및 해당 방식을 채택한 사유</w:t>
            </w:r>
          </w:p>
        </w:tc>
      </w:tr>
      <w:tr>
        <w:tc>
          <w:tcPr>
            <w:tcW w:type="dxa" w:w="125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인자:</w:t>
            </w:r>
          </w:p>
        </w:tc>
        <w:tc>
          <w:tcPr>
            <w:tcW w:type="dxa" w:w="838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인자명 — 의미 (단위), 유효 범위</w:t>
            </w:r>
          </w:p>
        </w:tc>
      </w:tr>
      <w:tr>
        <w:tc>
          <w:tcPr>
            <w:tcW w:type="dxa" w:w="125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반환:</w:t>
            </w:r>
          </w:p>
        </w:tc>
        <w:tc>
          <w:tcPr>
            <w:tcW w:type="dxa" w:w="838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반환값의 의미 (단위), 값이 없거나 산출이 불가능한 경우의 동작</w:t>
            </w:r>
          </w:p>
        </w:tc>
      </w:tr>
      <w:tr>
        <w:tc>
          <w:tcPr>
            <w:tcW w:type="dxa" w:w="125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식:</w:t>
            </w:r>
          </w:p>
        </w:tc>
        <w:tc>
          <w:tcPr>
            <w:tcW w:type="dxa" w:w="838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코드로 변환하기 이전의 원식. 원문 기호를 그대로 표기한다</w:t>
            </w:r>
          </w:p>
        </w:tc>
      </w:tr>
      <w:tr>
        <w:tc>
          <w:tcPr>
            <w:tcW w:type="dxa" w:w="125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근거:</w:t>
            </w:r>
          </w:p>
        </w:tc>
        <w:tc>
          <w:tcPr>
            <w:tcW w:type="dxa" w:w="838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제4항에 따라 표기한다</w:t>
            </w:r>
          </w:p>
        </w:tc>
      </w:tr>
    </w:tbl>
    <w:p>
      <w:pPr>
        <w:spacing w:after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2E75B6"/>
          <w:sz w:val="21"/>
          <w:szCs w:val="21"/>
        </w:rPr>
        <w:t xml:space="preserve">3-1. 부가 규칙</w:t>
      </w:r>
    </w:p>
    <w:tbl>
      <w:tblPr>
        <w:tblW w:type="dxa" w:w="9638"/>
        <w:jc w:val="center"/>
        <w:tblBorders>
          <w:top w:val="single" w:color="1F3864" w:sz="4"/>
          <w:left w:val="none"/>
          <w:bottom w:val="single" w:color="1F3864" w:sz="4"/>
          <w:right w:val="none"/>
          <w:insideH w:val="single" w:color="D9D9D9" w:sz="2"/>
          <w:insideV w:val="single" w:color="F0F0F0" w:sz="2"/>
        </w:tblBorders>
      </w:tblPr>
      <w:tblGrid>
        <w:gridCol w:w="2341"/>
        <w:gridCol w:w="7297"/>
      </w:tblGrid>
      <w:tr>
        <w:trPr>
          <w:tblHeader/>
        </w:trPr>
        <w:tc>
          <w:tcPr>
            <w:tcW w:type="dxa" w:w="2341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7297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34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선택 사유 명시</w:t>
            </w:r>
          </w:p>
        </w:tc>
        <w:tc>
          <w:tcPr>
            <w:tcW w:type="dxa" w:w="729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대체 가능한 방식이 존재하는 선택(평균 대신 중앙값, 창 길이, 백분위 등)은 채택 사유를 함께 기재한다</w:t>
            </w:r>
          </w:p>
        </w:tc>
      </w:tr>
      <w:tr>
        <w:tc>
          <w:tcPr>
            <w:tcW w:type="dxa" w:w="234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함수명 반복 금지</w:t>
            </w:r>
          </w:p>
        </w:tc>
        <w:tc>
          <w:tcPr>
            <w:tcW w:type="dxa" w:w="729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함수명을 한글로 옮겨 적은 문장은 목적으로 인정하지 않는다</w:t>
            </w:r>
          </w:p>
        </w:tc>
      </w:tr>
      <w:tr>
        <w:tc>
          <w:tcPr>
            <w:tcW w:type="dxa" w:w="234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타 함수 참조 금지</w:t>
            </w:r>
          </w:p>
        </w:tc>
        <w:tc>
          <w:tcPr>
            <w:tcW w:type="dxa" w:w="729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다른 함수명만을 지시하지 않는다. 수행 내용을 직접 기재한다</w:t>
            </w:r>
          </w:p>
        </w:tc>
      </w:tr>
    </w:tbl>
    <w:p>
      <w:pPr>
        <w:spacing w:after="14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 w:before="0" w:line="276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「식:」 항목의 필요성은 부록 A-2, 표현 관련 사례는 부록 A-4를 참조한다.</w:t>
      </w:r>
    </w:p>
    <w:p>
      <w:pPr>
        <w:pStyle w:val="Heading2"/>
        <w:pBdr>
          <w:bottom w:val="single" w:color="D0D0D0" w:sz="6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4. 근거 표기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2E75B6"/>
          <w:sz w:val="21"/>
          <w:szCs w:val="21"/>
        </w:rPr>
        <w:t xml:space="preserve">4-1. 근거 구분</w:t>
      </w:r>
    </w:p>
    <w:tbl>
      <w:tblPr>
        <w:tblW w:type="dxa" w:w="9638"/>
        <w:jc w:val="center"/>
        <w:tblBorders>
          <w:top w:val="single" w:color="1F3864" w:sz="4"/>
          <w:left w:val="none"/>
          <w:bottom w:val="single" w:color="1F3864" w:sz="4"/>
          <w:right w:val="none"/>
          <w:insideH w:val="single" w:color="D9D9D9" w:sz="2"/>
          <w:insideV w:val="single" w:color="F0F0F0" w:sz="2"/>
        </w:tblBorders>
      </w:tblPr>
      <w:tblGrid>
        <w:gridCol w:w="1956"/>
        <w:gridCol w:w="7682"/>
      </w:tblGrid>
      <w:tr>
        <w:trPr>
          <w:tblHeader/>
        </w:trPr>
        <w:tc>
          <w:tcPr>
            <w:tcW w:type="dxa" w:w="1956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표기</w:t>
            </w:r>
          </w:p>
        </w:tc>
        <w:tc>
          <w:tcPr>
            <w:tcW w:type="dxa" w:w="7682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적용 대상</w:t>
            </w:r>
          </w:p>
        </w:tc>
      </w:tr>
      <w:tr>
        <w:tc>
          <w:tcPr>
            <w:tcW w:type="dxa" w:w="195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근거: 표준</w:t>
            </w:r>
          </w:p>
        </w:tc>
        <w:tc>
          <w:tcPr>
            <w:tcW w:type="dxa" w:w="768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표준 문서에서 인용한 경우</w:t>
            </w:r>
          </w:p>
        </w:tc>
      </w:tr>
      <w:tr>
        <w:tc>
          <w:tcPr>
            <w:tcW w:type="dxa" w:w="195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근거: 인용</w:t>
            </w:r>
          </w:p>
        </w:tc>
        <w:tc>
          <w:tcPr>
            <w:tcW w:type="dxa" w:w="768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논문, 서적, 외부 코드, 공식 문서에서 인용한 경우</w:t>
            </w:r>
          </w:p>
        </w:tc>
      </w:tr>
      <w:tr>
        <w:tc>
          <w:tcPr>
            <w:tcW w:type="dxa" w:w="195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근거: 측정</w:t>
            </w:r>
          </w:p>
        </w:tc>
        <w:tc>
          <w:tcPr>
            <w:tcW w:type="dxa" w:w="768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자체 측정을 통해 결정한 경우</w:t>
            </w:r>
          </w:p>
        </w:tc>
      </w:tr>
      <w:tr>
        <w:tc>
          <w:tcPr>
            <w:tcW w:type="dxa" w:w="195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근거: 미정</w:t>
            </w:r>
          </w:p>
        </w:tc>
        <w:tc>
          <w:tcPr>
            <w:tcW w:type="dxa" w:w="768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근거가 확정되지 않은 경우</w:t>
            </w:r>
          </w:p>
        </w:tc>
      </w:tr>
    </w:tbl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2E75B6"/>
          <w:sz w:val="21"/>
          <w:szCs w:val="21"/>
        </w:rPr>
        <w:t xml:space="preserve">4-2. 출처 기재 수준</w:t>
      </w:r>
    </w:p>
    <w:p>
      <w:pPr>
        <w:spacing w:after="10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출처는 제3자가 해당 문헌의 해당 위치를 특정할 수 있는 수준으로 기재한다. 문헌명만 기재한 것은 출처로 인정하지 않는다.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638"/>
        <w:jc w:val="center"/>
        <w:tblBorders>
          <w:top w:val="single" w:color="1F3864" w:sz="4"/>
          <w:left w:val="none"/>
          <w:bottom w:val="single" w:color="1F3864" w:sz="4"/>
          <w:right w:val="none"/>
          <w:insideH w:val="single" w:color="D9D9D9" w:sz="2"/>
          <w:insideV w:val="single" w:color="F0F0F0" w:sz="2"/>
        </w:tblBorders>
      </w:tblPr>
      <w:tblGrid>
        <w:gridCol w:w="2478"/>
        <w:gridCol w:w="7160"/>
      </w:tblGrid>
      <w:tr>
        <w:trPr>
          <w:tblHeader/>
        </w:trPr>
        <w:tc>
          <w:tcPr>
            <w:tcW w:type="dxa" w:w="2478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출처 구분</w:t>
            </w:r>
          </w:p>
        </w:tc>
        <w:tc>
          <w:tcPr>
            <w:tcW w:type="dxa" w:w="7160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필수 기재 사항</w:t>
            </w:r>
          </w:p>
        </w:tc>
      </w:tr>
      <w:tr>
        <w:tc>
          <w:tcPr>
            <w:tcW w:type="dxa" w:w="247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표준 문서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표준 번호 + 판·연도 + 절 또는 표·식 번호</w:t>
            </w:r>
          </w:p>
        </w:tc>
      </w:tr>
      <w:tr>
        <w:tc>
          <w:tcPr>
            <w:tcW w:type="dxa" w:w="247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논문 · 서적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저자 + 제목 + 연도 + 절 또는 페이지</w:t>
            </w:r>
          </w:p>
        </w:tc>
      </w:tr>
      <w:tr>
        <w:tc>
          <w:tcPr>
            <w:tcW w:type="dxa" w:w="247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웹 문서 · 외부 코드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사이트 또는 저자 + 문서 제목 + 접속 일자</w:t>
            </w:r>
          </w:p>
        </w:tc>
      </w:tr>
      <w:tr>
        <w:tc>
          <w:tcPr>
            <w:tcW w:type="dxa" w:w="247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자체 측정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데이터 파일명 + 일자 + 담당자</w:t>
            </w:r>
          </w:p>
        </w:tc>
      </w:tr>
      <w:tr>
        <w:tc>
          <w:tcPr>
            <w:tcW w:type="dxa" w:w="247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미정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담당자 + 기한</w:t>
            </w:r>
          </w:p>
        </w:tc>
      </w:tr>
    </w:tbl>
    <w:p>
      <w:pPr>
        <w:spacing w:after="14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 w:before="0" w:line="276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기재 수준 사례는 부록 A-3을 참조한다.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2E75B6"/>
          <w:sz w:val="21"/>
          <w:szCs w:val="21"/>
        </w:rPr>
        <w:t xml:space="preserve">4-3. 「근거: 미정」의 적용</w:t>
      </w:r>
    </w:p>
    <w:p>
      <w:pPr>
        <w:spacing w:after="10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근거가 확정되지 않은 값은 임의의 근거를 부여하지 않고 「근거: 미정」으로 표기한다. 이때 담당자와 기한을 함께 기재한다.</w:t>
      </w:r>
    </w:p>
    <w:p>
      <w:pPr>
        <w:spacing w:after="10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미정 표기가 누락된 값은 이후 근거가 확인된 값과 구분되지 않으므로, 표기 누락을 검토 시 확인 대상으로 한다.</w:t>
      </w:r>
    </w:p>
    <w:p>
      <w:pPr>
        <w:pStyle w:val="Heading2"/>
        <w:pBdr>
          <w:bottom w:val="single" w:color="D0D0D0" w:sz="6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5. 명명 및 상수 관리</w:t>
      </w:r>
    </w:p>
    <w:tbl>
      <w:tblPr>
        <w:tblW w:type="dxa" w:w="9638"/>
        <w:jc w:val="center"/>
        <w:tblBorders>
          <w:top w:val="single" w:color="1F3864" w:sz="4"/>
          <w:left w:val="none"/>
          <w:bottom w:val="single" w:color="1F3864" w:sz="4"/>
          <w:right w:val="none"/>
          <w:insideH w:val="single" w:color="D9D9D9" w:sz="2"/>
          <w:insideV w:val="single" w:color="F0F0F0" w:sz="2"/>
        </w:tblBorders>
      </w:tblPr>
      <w:tblGrid>
        <w:gridCol w:w="1790"/>
        <w:gridCol w:w="7848"/>
      </w:tblGrid>
      <w:tr>
        <w:trPr>
          <w:tblHeader/>
        </w:trPr>
        <w:tc>
          <w:tcPr>
            <w:tcW w:type="dxa" w:w="1790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7848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규칙</w:t>
            </w:r>
          </w:p>
        </w:tc>
      </w:tr>
      <w:tr>
        <w:tc>
          <w:tcPr>
            <w:tcW w:type="dxa" w:w="179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값 명명</w:t>
            </w:r>
          </w:p>
        </w:tc>
        <w:tc>
          <w:tcPr>
            <w:tcW w:type="dxa" w:w="784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값 이름 뒤에 단위를 표기한다. 예: </w:t>
            </w: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interval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2E7D32"/>
                <w:sz w:val="18"/>
                <w:szCs w:val="18"/>
              </w:rPr>
              <w:t xml:space="preserve">intervalUs</w:t>
            </w:r>
          </w:p>
        </w:tc>
      </w:tr>
      <w:tr>
        <w:tc>
          <w:tcPr>
            <w:tcW w:type="dxa" w:w="179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상수 위치</w:t>
            </w:r>
          </w:p>
        </w:tc>
        <w:tc>
          <w:tcPr>
            <w:tcW w:type="dxa" w:w="784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수치는 설정 파일에 집중 관리하며, 그 외 파일에는 기재하지 않는다</w:t>
            </w:r>
          </w:p>
        </w:tc>
      </w:tr>
      <w:tr>
        <w:tc>
          <w:tcPr>
            <w:tcW w:type="dxa" w:w="179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상수 예외</w:t>
            </w:r>
          </w:p>
        </w:tc>
        <w:tc>
          <w:tcPr>
            <w:tcW w:type="dxa" w:w="784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0, 1, -1. 수식 내 상수는 「식:」 항목에 원식이 기재된 경우에 한하여 코드 내 표기를 허용한다</w:t>
            </w:r>
          </w:p>
        </w:tc>
      </w:tr>
    </w:tbl>
    <w:p>
      <w:pPr>
        <w:spacing w:after="14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단위를 명명에 포함할 경우 인자 설명의 상당 부분이 불필요해진다. 단위 표기 예시는 부록 B-5, 상수 집중 관리의 근거는 부록 A-5를 참조한다.</w:t>
      </w:r>
    </w:p>
    <w:p>
      <w:pPr>
        <w:pStyle w:val="Heading2"/>
        <w:pBdr>
          <w:bottom w:val="single" w:color="D0D0D0" w:sz="6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6. 표현 규칙</w:t>
      </w:r>
    </w:p>
    <w:tbl>
      <w:tblPr>
        <w:tblW w:type="dxa" w:w="9638"/>
        <w:jc w:val="center"/>
        <w:tblBorders>
          <w:top w:val="single" w:color="1F3864" w:sz="4"/>
          <w:left w:val="none"/>
          <w:bottom w:val="single" w:color="1F3864" w:sz="4"/>
          <w:right w:val="none"/>
          <w:insideH w:val="single" w:color="D9D9D9" w:sz="2"/>
          <w:insideV w:val="single" w:color="F0F0F0" w:sz="2"/>
        </w:tblBorders>
      </w:tblPr>
      <w:tblGrid>
        <w:gridCol w:w="1790"/>
        <w:gridCol w:w="7848"/>
      </w:tblGrid>
      <w:tr>
        <w:trPr>
          <w:tblHeader/>
        </w:trPr>
        <w:tc>
          <w:tcPr>
            <w:tcW w:type="dxa" w:w="1790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7848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규칙</w:t>
            </w:r>
          </w:p>
        </w:tc>
      </w:tr>
      <w:tr>
        <w:tc>
          <w:tcPr>
            <w:tcW w:type="dxa" w:w="179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약어</w:t>
            </w:r>
          </w:p>
        </w:tc>
        <w:tc>
          <w:tcPr>
            <w:tcW w:type="dxa" w:w="784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파일 내 최초 1회는 원어를 병기한다. 이후에는 약어만 사용할 수 있다</w:t>
            </w:r>
          </w:p>
        </w:tc>
      </w:tr>
      <w:tr>
        <w:tc>
          <w:tcPr>
            <w:tcW w:type="dxa" w:w="179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외부 용어</w:t>
            </w:r>
          </w:p>
        </w:tc>
        <w:tc>
          <w:tcPr>
            <w:tcW w:type="dxa" w:w="784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원문과 번역을 병기한다. 표기 순서는 파일 내에서 통일한다</w:t>
            </w:r>
          </w:p>
        </w:tc>
      </w:tr>
    </w:tbl>
    <w:p>
      <w:pPr>
        <w:pStyle w:val="Heading2"/>
        <w:pBdr>
          <w:bottom w:val="single" w:color="D0D0D0" w:sz="6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7. 기재하지 않는 주석</w:t>
      </w:r>
    </w:p>
    <w:tbl>
      <w:tblPr>
        <w:tblW w:type="dxa" w:w="9638"/>
        <w:jc w:val="center"/>
        <w:tblBorders>
          <w:top w:val="single" w:color="1F3864" w:sz="4"/>
          <w:left w:val="none"/>
          <w:bottom w:val="single" w:color="1F3864" w:sz="4"/>
          <w:right w:val="none"/>
          <w:insideH w:val="single" w:color="D9D9D9" w:sz="2"/>
          <w:insideV w:val="single" w:color="F0F0F0" w:sz="2"/>
        </w:tblBorders>
      </w:tblPr>
      <w:tblGrid>
        <w:gridCol w:w="4131"/>
        <w:gridCol w:w="5507"/>
      </w:tblGrid>
      <w:tr>
        <w:trPr>
          <w:tblHeader/>
        </w:trPr>
        <w:tc>
          <w:tcPr>
            <w:tcW w:type="dxa" w:w="4131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대상</w:t>
            </w:r>
          </w:p>
        </w:tc>
        <w:tc>
          <w:tcPr>
            <w:tcW w:type="dxa" w:w="5507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사유</w:t>
            </w:r>
          </w:p>
        </w:tc>
      </w:tr>
      <w:tr>
        <w:tc>
          <w:tcPr>
            <w:tcW w:type="dxa" w:w="413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코드 내용을 그대로 서술한 주석</w:t>
            </w:r>
          </w:p>
        </w:tc>
        <w:tc>
          <w:tcPr>
            <w:tcW w:type="dxa" w:w="550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추가되는 정보가 없다</w:t>
            </w:r>
          </w:p>
        </w:tc>
      </w:tr>
      <w:tr>
        <w:tc>
          <w:tcPr>
            <w:tcW w:type="dxa" w:w="413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수정 이력, 일자, 담당자</w:t>
            </w:r>
          </w:p>
        </w:tc>
        <w:tc>
          <w:tcPr>
            <w:tcW w:type="dxa" w:w="550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형상관리 도구(Git)가 관리한다</w:t>
            </w:r>
          </w:p>
        </w:tc>
      </w:tr>
      <w:tr>
        <w:tc>
          <w:tcPr>
            <w:tcW w:type="dxa" w:w="413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주석 처리된 이전 코드</w:t>
            </w:r>
          </w:p>
        </w:tc>
        <w:tc>
          <w:tcPr>
            <w:tcW w:type="dxa" w:w="550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삭제 대상 코드는 제거한다</w:t>
            </w:r>
          </w:p>
        </w:tc>
      </w:tr>
      <w:tr>
        <w:tc>
          <w:tcPr>
            <w:tcW w:type="dxa" w:w="413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담당자·기한이 없는 「할 일」 표기</w:t>
            </w:r>
          </w:p>
        </w:tc>
        <w:tc>
          <w:tcPr>
            <w:tcW w:type="dxa" w:w="550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「근거: 미정」으로 통일한다</w:t>
            </w:r>
          </w:p>
        </w:tc>
      </w:tr>
    </w:tbl>
    <w:p>
      <w:pPr>
        <w:pStyle w:val="Heading2"/>
        <w:pBdr>
          <w:bottom w:val="single" w:color="D0D0D0" w:sz="6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8. AI 생성 코드 표기</w:t>
      </w:r>
    </w:p>
    <w:tbl>
      <w:tblPr>
        <w:tblW w:type="dxa" w:w="9638"/>
        <w:jc w:val="center"/>
        <w:tblBorders>
          <w:top w:val="single" w:color="1F3864" w:sz="4"/>
          <w:left w:val="none"/>
          <w:bottom w:val="single" w:color="1F3864" w:sz="4"/>
          <w:right w:val="none"/>
          <w:insideH w:val="single" w:color="D9D9D9" w:sz="2"/>
          <w:insideV w:val="single" w:color="F0F0F0" w:sz="2"/>
        </w:tblBorders>
      </w:tblPr>
      <w:tblGrid>
        <w:gridCol w:w="2478"/>
        <w:gridCol w:w="7160"/>
      </w:tblGrid>
      <w:tr>
        <w:trPr>
          <w:tblHeader/>
        </w:trPr>
        <w:tc>
          <w:tcPr>
            <w:tcW w:type="dxa" w:w="2478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  <w:tc>
          <w:tcPr>
            <w:tcW w:type="dxa" w:w="7160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표기</w:t>
            </w:r>
          </w:p>
        </w:tc>
      </w:tr>
      <w:tr>
        <w:tc>
          <w:tcPr>
            <w:tcW w:type="dxa" w:w="247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수치 대조 이전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/// 확인: 안 함</w:t>
            </w:r>
          </w:p>
        </w:tc>
      </w:tr>
      <w:tr>
        <w:tc>
          <w:tcPr>
            <w:tcW w:type="dxa" w:w="247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수치 대조 이후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해당 행을 삭제하고 「근거: 측정」으로 대체한다</w:t>
            </w:r>
          </w:p>
        </w:tc>
      </w:tr>
    </w:tbl>
    <w:p>
      <w:pPr>
        <w:spacing w:after="14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「확인: 안 함」 표기가 남아 있는 코드는 검토 및 발표 대상에서 제외한다. 표기 운영의 근거는 부록 A-6, 표기 예시는 부록 B-7을 참조한다.</w:t>
      </w:r>
    </w:p>
    <w:p>
      <w:pPr>
        <w:pStyle w:val="Heading2"/>
        <w:pBdr>
          <w:bottom w:val="single" w:color="D0D0D0" w:sz="6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9. 검토 항목</w:t>
      </w:r>
    </w:p>
    <w:p>
      <w:pPr>
        <w:spacing w:after="10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각 함수에 대하여 아래 항목을 확인한다.</w:t>
      </w:r>
    </w:p>
    <w:tbl>
      <w:tblPr>
        <w:tblW w:type="dxa" w:w="9638"/>
        <w:jc w:val="center"/>
        <w:tblBorders>
          <w:top w:val="single" w:color="1F3864" w:sz="4"/>
          <w:left w:val="none"/>
          <w:bottom w:val="single" w:color="1F3864" w:sz="4"/>
          <w:right w:val="none"/>
          <w:insideH w:val="single" w:color="D9D9D9" w:sz="2"/>
          <w:insideV w:val="single" w:color="F0F0F0" w:sz="2"/>
        </w:tblBorders>
      </w:tblPr>
      <w:tblGrid>
        <w:gridCol w:w="551"/>
        <w:gridCol w:w="9087"/>
      </w:tblGrid>
      <w:tr>
        <w:trPr>
          <w:tblHeader/>
        </w:trPr>
        <w:tc>
          <w:tcPr>
            <w:tcW w:type="dxa" w:w="551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9087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확인 사항</w:t>
            </w:r>
          </w:p>
        </w:tc>
      </w:tr>
      <w:tr>
        <w:tc>
          <w:tcPr>
            <w:tcW w:type="dxa" w:w="55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08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해당 함수의 존재 사유를 설명할 수 있는가</w:t>
            </w:r>
          </w:p>
        </w:tc>
      </w:tr>
      <w:tr>
        <w:tc>
          <w:tcPr>
            <w:tcW w:type="dxa" w:w="55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908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함수 내 수치의 출처를 특정할 수 있는가</w:t>
            </w:r>
          </w:p>
        </w:tc>
      </w:tr>
      <w:tr>
        <w:tc>
          <w:tcPr>
            <w:tcW w:type="dxa" w:w="55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908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차용한 식의 문헌 및 해당 위치를 특정할 수 있는가</w:t>
            </w:r>
          </w:p>
        </w:tc>
      </w:tr>
      <w:tr>
        <w:tc>
          <w:tcPr>
            <w:tcW w:type="dxa" w:w="55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908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반환값의 단위를 명시할 수 있는가</w:t>
            </w:r>
          </w:p>
        </w:tc>
      </w:tr>
      <w:tr>
        <w:tc>
          <w:tcPr>
            <w:tcW w:type="dxa" w:w="55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908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제3자가 주석만으로 내용을 파악할 수 있는가</w:t>
            </w:r>
          </w:p>
        </w:tc>
      </w:tr>
    </w:tbl>
    <w:p>
      <w:pPr>
        <w:spacing w:after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위 항목 중 하나라도 확인되지 않는 경우 주석을 보완한 후 검토를 진행한다.</w:t>
      </w:r>
    </w:p>
    <w:p>
      <w:r>
        <w:br w:type="page"/>
      </w:r>
    </w:p>
    <w:p>
      <w:pPr>
        <w:pStyle w:val="Heading1"/>
        <w:pBdr>
          <w:bottom w:val="single" w:color="1F3864" w:sz="14" w:space="6"/>
        </w:pBdr>
        <w:spacing w:after="220" w:before="360" w:lin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부록 A. 규칙 근거</w:t>
      </w:r>
    </w:p>
    <w:p>
      <w:pPr>
        <w:pStyle w:val="Heading2"/>
        <w:pBdr>
          <w:bottom w:val="single" w:color="D0D0D0" w:sz="6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A-1. 등급 구분의 근거</w:t>
      </w:r>
    </w:p>
    <w:p>
      <w:pPr>
        <w:spacing w:after="10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모든 함수에 동일한 기재 항목을 요구할 경우, 설명이 불필요한 함수에도 형식적인 주석이 부가된다. 이 경우 주석의 정보 밀도가 저하되어 열람 자체가 이루어지지 않는다.</w:t>
      </w:r>
    </w:p>
    <w:p>
      <w:pPr>
        <w:spacing w:after="10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따라서 설명이 필요한 함수에 한하여 기재 분량을 배분한다. 구분 기준은 오류의 발현 방식이다.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638"/>
        <w:jc w:val="center"/>
        <w:tblBorders>
          <w:top w:val="single" w:color="1F3864" w:sz="4"/>
          <w:left w:val="none"/>
          <w:bottom w:val="single" w:color="1F3864" w:sz="4"/>
          <w:right w:val="none"/>
          <w:insideH w:val="single" w:color="D9D9D9" w:sz="2"/>
          <w:insideV w:val="single" w:color="F0F0F0" w:sz="2"/>
        </w:tblBorders>
      </w:tblPr>
      <w:tblGrid>
        <w:gridCol w:w="2754"/>
        <w:gridCol w:w="5232"/>
        <w:gridCol w:w="1652"/>
      </w:tblGrid>
      <w:tr>
        <w:trPr>
          <w:tblHeader/>
        </w:trPr>
        <w:tc>
          <w:tcPr>
            <w:tcW w:type="dxa" w:w="2754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함수 구분</w:t>
            </w:r>
          </w:p>
        </w:tc>
        <w:tc>
          <w:tcPr>
            <w:tcW w:type="dxa" w:w="5232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오류 발현 방식</w:t>
            </w:r>
          </w:p>
        </w:tc>
        <w:tc>
          <w:tcPr>
            <w:tcW w:type="dxa" w:w="1652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기재 분량</w:t>
            </w:r>
          </w:p>
        </w:tc>
      </w:tr>
      <w:tr>
        <w:tc>
          <w:tcPr>
            <w:tcW w:type="dxa" w:w="275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수치를 산출하는 함수</w:t>
            </w:r>
          </w:p>
        </w:tc>
        <w:tc>
          <w:tcPr>
            <w:tcW w:type="dxa" w:w="523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값은 반환되나 그 값이 오류인 상태로 진행되어 즉시 드러나지 않는다</w:t>
            </w:r>
          </w:p>
        </w:tc>
        <w:tc>
          <w:tcPr>
            <w:tcW w:type="dxa" w:w="1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상세</w:t>
            </w:r>
          </w:p>
        </w:tc>
      </w:tr>
      <w:tr>
        <w:tc>
          <w:tcPr>
            <w:tcW w:type="dxa" w:w="275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데이터를 전달하는 함수</w:t>
            </w:r>
          </w:p>
        </w:tc>
        <w:tc>
          <w:tcPr>
            <w:tcW w:type="dxa" w:w="523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동작 실패로 즉시 드러난다</w:t>
            </w:r>
          </w:p>
        </w:tc>
        <w:tc>
          <w:tcPr>
            <w:tcW w:type="dxa" w:w="16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1행</w:t>
            </w:r>
          </w:p>
        </w:tc>
      </w:tr>
    </w:tbl>
    <w:p>
      <w:pPr>
        <w:pStyle w:val="Heading2"/>
        <w:pBdr>
          <w:bottom w:val="single" w:color="D0D0D0" w:sz="6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A-2. 「식:」 항목의 필요성</w:t>
      </w:r>
    </w:p>
    <w:p>
      <w:pPr>
        <w:spacing w:after="10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코드는 수식을 원형 그대로 포함하지 못한다. 계산이 복수의 행으로 분할되고, 변수명이 변경되며, 연산 순서가 재배치되기 때문이다.</w:t>
      </w:r>
    </w:p>
    <w:p>
      <w:pPr>
        <w:spacing w:after="10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그 결과 코드만으로는 원식을 역추적할 수 없으며, 원문 문헌과 대조하더라도 기호가 상이하여 각 항의 대응 관계를 확인할 수 없다.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638"/>
        <w:jc w:val="center"/>
        <w:tblBorders>
          <w:top w:val="single" w:color="1F3864" w:sz="4"/>
          <w:left w:val="none"/>
          <w:bottom w:val="single" w:color="1F3864" w:sz="4"/>
          <w:right w:val="none"/>
          <w:insideH w:val="single" w:color="D9D9D9" w:sz="2"/>
          <w:insideV w:val="single" w:color="F0F0F0" w:sz="2"/>
        </w:tblBorders>
      </w:tblPr>
      <w:tblGrid>
        <w:gridCol w:w="4681"/>
        <w:gridCol w:w="4957"/>
      </w:tblGrid>
      <w:tr>
        <w:trPr>
          <w:tblHeader/>
        </w:trPr>
        <w:tc>
          <w:tcPr>
            <w:tcW w:type="dxa" w:w="4681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준수 사항</w:t>
            </w:r>
          </w:p>
        </w:tc>
        <w:tc>
          <w:tcPr>
            <w:tcW w:type="dxa" w:w="4957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사유</w:t>
            </w:r>
          </w:p>
        </w:tc>
      </w:tr>
      <w:tr>
        <w:tc>
          <w:tcPr>
            <w:tcW w:type="dxa" w:w="468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원문 문헌의 기호를 그대로 표기한다</w:t>
            </w:r>
          </w:p>
        </w:tc>
        <w:tc>
          <w:tcPr>
            <w:tcW w:type="dxa" w:w="495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문헌과 코드의 대조가 가능해야 한다</w:t>
            </w:r>
          </w:p>
        </w:tc>
      </w:tr>
      <w:tr>
        <w:tc>
          <w:tcPr>
            <w:tcW w:type="dxa" w:w="468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기호와 코드 변수명이 상이한 경우 대응 관계를 기재한다</w:t>
            </w:r>
          </w:p>
        </w:tc>
        <w:tc>
          <w:tcPr>
            <w:tcW w:type="dxa" w:w="495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예: w0 → omega0</w:t>
            </w:r>
          </w:p>
        </w:tc>
      </w:tr>
      <w:tr>
        <w:tc>
          <w:tcPr>
            <w:tcW w:type="dxa" w:w="468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복수 행으로 구성된 식은 행을 분리하여 기재한다</w:t>
            </w:r>
          </w:p>
        </w:tc>
        <w:tc>
          <w:tcPr>
            <w:tcW w:type="dxa" w:w="495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단일 행 압축 시 가독성이 확보되지 않는다</w:t>
            </w:r>
          </w:p>
        </w:tc>
      </w:tr>
      <w:tr>
        <w:tc>
          <w:tcPr>
            <w:tcW w:type="dxa" w:w="468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단위를 가지는 값은 단위를 병기한다</w:t>
            </w:r>
          </w:p>
        </w:tc>
        <w:tc>
          <w:tcPr>
            <w:tcW w:type="dxa" w:w="495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2"/>
        <w:pBdr>
          <w:bottom w:val="single" w:color="D0D0D0" w:sz="6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A-3. 출처 기재 수준 사례</w:t>
      </w:r>
    </w:p>
    <w:tbl>
      <w:tblPr>
        <w:tblW w:type="dxa" w:w="9638"/>
        <w:jc w:val="center"/>
        <w:tblBorders>
          <w:top w:val="single" w:color="1F3864" w:sz="4"/>
          <w:left w:val="none"/>
          <w:bottom w:val="single" w:color="1F3864" w:sz="4"/>
          <w:right w:val="none"/>
          <w:insideH w:val="single" w:color="D9D9D9" w:sz="2"/>
          <w:insideV w:val="single" w:color="F0F0F0" w:sz="2"/>
        </w:tblBorders>
      </w:tblPr>
      <w:tblGrid>
        <w:gridCol w:w="3304"/>
        <w:gridCol w:w="6334"/>
      </w:tblGrid>
      <w:tr>
        <w:trPr>
          <w:tblHeader/>
        </w:trPr>
        <w:tc>
          <w:tcPr>
            <w:tcW w:type="dxa" w:w="3304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부적합</w:t>
            </w:r>
          </w:p>
        </w:tc>
        <w:tc>
          <w:tcPr>
            <w:tcW w:type="dxa" w:w="6334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적합</w:t>
            </w:r>
          </w:p>
        </w:tc>
      </w:tr>
      <w:tr>
        <w:tc>
          <w:tcPr>
            <w:tcW w:type="dxa" w:w="330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근거: 표준 — ISO</w:t>
            </w:r>
          </w:p>
        </w:tc>
        <w:tc>
          <w:tcPr>
            <w:tcW w:type="dxa" w:w="633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E7D32"/>
                <w:sz w:val="18"/>
                <w:szCs w:val="18"/>
              </w:rPr>
              <w:t xml:space="preserve">근거: 표준 — ISO 8041-1:2017, 6.2절 표 3</w:t>
            </w:r>
          </w:p>
        </w:tc>
      </w:tr>
      <w:tr>
        <w:tc>
          <w:tcPr>
            <w:tcW w:type="dxa" w:w="330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근거: 인용 — 인터넷</w:t>
            </w:r>
          </w:p>
        </w:tc>
        <w:tc>
          <w:tcPr>
            <w:tcW w:type="dxa" w:w="633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E7D32"/>
                <w:sz w:val="18"/>
                <w:szCs w:val="18"/>
              </w:rPr>
              <w:t xml:space="preserve">근거: 인용 — Android 개발자 문서 "Motion sensors", 접속 2026-08-05</w:t>
            </w:r>
          </w:p>
        </w:tc>
      </w:tr>
      <w:tr>
        <w:tc>
          <w:tcPr>
            <w:tcW w:type="dxa" w:w="330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근거: 측정 — 실측</w:t>
            </w:r>
          </w:p>
        </w:tc>
        <w:tc>
          <w:tcPr>
            <w:tcW w:type="dxa" w:w="633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E7D32"/>
                <w:sz w:val="18"/>
                <w:szCs w:val="18"/>
              </w:rPr>
              <w:t xml:space="preserve">근거: 측정 — 기준파일 2024F1447R01, 8/5 대조, 박건준</w:t>
            </w:r>
          </w:p>
        </w:tc>
      </w:tr>
      <w:tr>
        <w:tc>
          <w:tcPr>
            <w:tcW w:type="dxa" w:w="330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근거: 미정</w:t>
            </w:r>
          </w:p>
        </w:tc>
        <w:tc>
          <w:tcPr>
            <w:tcW w:type="dxa" w:w="633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E7D32"/>
                <w:sz w:val="18"/>
                <w:szCs w:val="18"/>
              </w:rPr>
              <w:t xml:space="preserve">근거: 미정 — 마이크 보정값, 소음계 대조 필요, 박희정, 8/11</w:t>
            </w:r>
          </w:p>
        </w:tc>
      </w:tr>
    </w:tbl>
    <w:p>
      <w:pPr>
        <w:spacing w:after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638"/>
        <w:jc w:val="center"/>
        <w:tblBorders>
          <w:top w:val="single" w:color="1F3864" w:sz="4"/>
          <w:left w:val="none"/>
          <w:bottom w:val="single" w:color="1F3864" w:sz="4"/>
          <w:right w:val="none"/>
          <w:insideH w:val="single" w:color="D9D9D9" w:sz="2"/>
          <w:insideV w:val="single" w:color="F0F0F0" w:sz="2"/>
        </w:tblBorders>
      </w:tblPr>
      <w:tblGrid>
        <w:gridCol w:w="3580"/>
        <w:gridCol w:w="6058"/>
      </w:tblGrid>
      <w:tr>
        <w:trPr>
          <w:tblHeader/>
        </w:trPr>
        <w:tc>
          <w:tcPr>
            <w:tcW w:type="dxa" w:w="3580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6058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사유</w:t>
            </w:r>
          </w:p>
        </w:tc>
      </w:tr>
      <w:tr>
        <w:tc>
          <w:tcPr>
            <w:tcW w:type="dxa" w:w="358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웹 문서에 접속 일자를 기재하는 이유</w:t>
            </w:r>
          </w:p>
        </w:tc>
        <w:tc>
          <w:tcPr>
            <w:tcW w:type="dxa" w:w="605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웹 문서는 내용이 변경되거나 삭제될 수 있다. 접속 일자가 있으면 변경 여부를 판별할 수 있다</w:t>
            </w:r>
          </w:p>
        </w:tc>
      </w:tr>
      <w:tr>
        <w:tc>
          <w:tcPr>
            <w:tcW w:type="dxa" w:w="358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미정 표기에 담당자와 기한을 기재하는 이유</w:t>
            </w:r>
          </w:p>
        </w:tc>
        <w:tc>
          <w:tcPr>
            <w:tcW w:type="dxa" w:w="605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담당자가 지정되지 않은 항목은 처리되지 않는다. 또한 표기가 있어야 검색을 통한 일괄 확인이 가능하다</w:t>
            </w:r>
          </w:p>
        </w:tc>
      </w:tr>
    </w:tbl>
    <w:p>
      <w:pPr>
        <w:pStyle w:val="Heading2"/>
        <w:pBdr>
          <w:bottom w:val="single" w:color="D0D0D0" w:sz="6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A-4. 표현 사례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2E75B6"/>
          <w:sz w:val="21"/>
          <w:szCs w:val="21"/>
        </w:rPr>
        <w:t xml:space="preserve">A-4-1. 채택 사유가 누락된 경우</w:t>
      </w:r>
    </w:p>
    <w:tbl>
      <w:tblPr>
        <w:tblW w:type="dxa" w:w="9638"/>
        <w:jc w:val="center"/>
        <w:tblBorders>
          <w:top w:val="single" w:color="1F3864" w:sz="4"/>
          <w:left w:val="none"/>
          <w:bottom w:val="single" w:color="1F3864" w:sz="4"/>
          <w:right w:val="none"/>
          <w:insideH w:val="single" w:color="D9D9D9" w:sz="2"/>
          <w:insideV w:val="single" w:color="F0F0F0" w:sz="2"/>
        </w:tblBorders>
      </w:tblPr>
      <w:tblGrid>
        <w:gridCol w:w="3304"/>
        <w:gridCol w:w="6334"/>
      </w:tblGrid>
      <w:tr>
        <w:trPr>
          <w:tblHeader/>
        </w:trPr>
        <w:tc>
          <w:tcPr>
            <w:tcW w:type="dxa" w:w="3304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부적합</w:t>
            </w:r>
          </w:p>
        </w:tc>
        <w:tc>
          <w:tcPr>
            <w:tcW w:type="dxa" w:w="6334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적합</w:t>
            </w:r>
          </w:p>
        </w:tc>
      </w:tr>
      <w:tr>
        <w:tc>
          <w:tcPr>
            <w:tcW w:type="dxa" w:w="330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목적: 중앙값을 구한다.</w:t>
            </w:r>
          </w:p>
        </w:tc>
        <w:tc>
          <w:tcPr>
            <w:tcW w:type="dxa" w:w="633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E7D32"/>
                <w:sz w:val="18"/>
                <w:szCs w:val="18"/>
              </w:rPr>
              <w:t xml:space="preserve">목적: 중앙값으로 실제 수집 주기를 산출한다. 평균을 사용하지 않는 사유는 운영체제의 지연 전달로 발생하는 소수의 큰 값이 평균을 왜곡하기 때문이다.</w:t>
            </w:r>
          </w:p>
        </w:tc>
      </w:tr>
    </w:tbl>
    <w:p>
      <w:pPr>
        <w:spacing w:after="14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대체 가능한 방식이 존재하는 선택은 사유가 기재되지 않을 경우 변경 가능 여부를 판단할 수 없다.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2E75B6"/>
          <w:sz w:val="21"/>
          <w:szCs w:val="21"/>
        </w:rPr>
        <w:t xml:space="preserve">A-4-2. 약어를 병기하지 않은 경우</w:t>
      </w:r>
    </w:p>
    <w:tbl>
      <w:tblPr>
        <w:tblW w:type="dxa" w:w="9638"/>
        <w:jc w:val="center"/>
        <w:tblBorders>
          <w:top w:val="single" w:color="1F3864" w:sz="4"/>
          <w:left w:val="none"/>
          <w:bottom w:val="single" w:color="1F3864" w:sz="4"/>
          <w:right w:val="none"/>
          <w:insideH w:val="single" w:color="D9D9D9" w:sz="2"/>
          <w:insideV w:val="single" w:color="F0F0F0" w:sz="2"/>
        </w:tblBorders>
      </w:tblPr>
      <w:tblGrid>
        <w:gridCol w:w="3304"/>
        <w:gridCol w:w="6334"/>
      </w:tblGrid>
      <w:tr>
        <w:trPr>
          <w:tblHeader/>
        </w:trPr>
        <w:tc>
          <w:tcPr>
            <w:tcW w:type="dxa" w:w="3304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부적합</w:t>
            </w:r>
          </w:p>
        </w:tc>
        <w:tc>
          <w:tcPr>
            <w:tcW w:type="dxa" w:w="6334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적합</w:t>
            </w:r>
          </w:p>
        </w:tc>
      </w:tr>
      <w:tr>
        <w:tc>
          <w:tcPr>
            <w:tcW w:type="dxa" w:w="330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P2P 값</w:t>
            </w:r>
          </w:p>
        </w:tc>
        <w:tc>
          <w:tcPr>
            <w:tcW w:type="dxa" w:w="633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E7D32"/>
                <w:sz w:val="18"/>
                <w:szCs w:val="18"/>
              </w:rPr>
              <w:t xml:space="preserve">최대·최소 차이 (peak to peak)</w:t>
            </w:r>
          </w:p>
        </w:tc>
      </w:tr>
      <w:tr>
        <w:tc>
          <w:tcPr>
            <w:tcW w:type="dxa" w:w="330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HPF 적용</w:t>
            </w:r>
          </w:p>
        </w:tc>
        <w:tc>
          <w:tcPr>
            <w:tcW w:type="dxa" w:w="633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E7D32"/>
                <w:sz w:val="18"/>
                <w:szCs w:val="18"/>
              </w:rPr>
              <w:t xml:space="preserve">고역통과 필터 (high-pass filter) 적용 — 저주파 성분을 제거한다</w:t>
            </w:r>
          </w:p>
        </w:tc>
      </w:tr>
      <w:tr>
        <w:tc>
          <w:tcPr>
            <w:tcW w:type="dxa" w:w="330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dBA</w:t>
            </w:r>
          </w:p>
        </w:tc>
        <w:tc>
          <w:tcPr>
            <w:tcW w:type="dxa" w:w="633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E7D32"/>
                <w:sz w:val="18"/>
                <w:szCs w:val="18"/>
              </w:rPr>
              <w:t xml:space="preserve">A 가중 소음 크기 (dBA) — 청감 특성에 맞추어 보정한 값</w:t>
            </w:r>
          </w:p>
        </w:tc>
      </w:tr>
    </w:tbl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2E75B6"/>
          <w:sz w:val="21"/>
          <w:szCs w:val="21"/>
        </w:rPr>
        <w:t xml:space="preserve">A-4-3. 타 함수명만 지시한 경우</w:t>
      </w:r>
    </w:p>
    <w:tbl>
      <w:tblPr>
        <w:tblW w:type="dxa" w:w="9638"/>
        <w:jc w:val="center"/>
        <w:tblBorders>
          <w:top w:val="single" w:color="1F3864" w:sz="4"/>
          <w:left w:val="none"/>
          <w:bottom w:val="single" w:color="1F3864" w:sz="4"/>
          <w:right w:val="none"/>
          <w:insideH w:val="single" w:color="D9D9D9" w:sz="2"/>
          <w:insideV w:val="single" w:color="F0F0F0" w:sz="2"/>
        </w:tblBorders>
      </w:tblPr>
      <w:tblGrid>
        <w:gridCol w:w="3304"/>
        <w:gridCol w:w="6334"/>
      </w:tblGrid>
      <w:tr>
        <w:trPr>
          <w:tblHeader/>
        </w:trPr>
        <w:tc>
          <w:tcPr>
            <w:tcW w:type="dxa" w:w="3304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부적합</w:t>
            </w:r>
          </w:p>
        </w:tc>
        <w:tc>
          <w:tcPr>
            <w:tcW w:type="dxa" w:w="6334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적합</w:t>
            </w:r>
          </w:p>
        </w:tc>
      </w:tr>
      <w:tr>
        <w:tc>
          <w:tcPr>
            <w:tcW w:type="dxa" w:w="330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목적: applyFilter를 호출한다.</w:t>
            </w:r>
          </w:p>
        </w:tc>
        <w:tc>
          <w:tcPr>
            <w:tcW w:type="dxa" w:w="633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E7D32"/>
                <w:sz w:val="18"/>
                <w:szCs w:val="18"/>
              </w:rPr>
              <w:t xml:space="preserve">목적: X·Y축에 수평 진동 가중 필터를, Z축에 대역 제한 필터를 적용한다.</w:t>
            </w:r>
          </w:p>
        </w:tc>
      </w:tr>
    </w:tbl>
    <w:p>
      <w:pPr>
        <w:pStyle w:val="Heading2"/>
        <w:pBdr>
          <w:bottom w:val="single" w:color="D0D0D0" w:sz="6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A-5. 상수 집중 관리의 근거</w:t>
      </w:r>
    </w:p>
    <w:p>
      <w:pPr>
        <w:spacing w:after="10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수치가 코드 전반에 분산될 경우 사용 중인 값의 전수 확인이 불가능해지며, 확인을 위해 전체 코드를 검색해야 한다.</w:t>
      </w:r>
    </w:p>
    <w:p>
      <w:pPr>
        <w:spacing w:after="10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설정 파일에 집중 관리할 경우 해당 파일만으로 사용 중인 값과 그 근거를 제시할 수 있다. 또한 값을 변경하는 작업이 개발 작업이 아닌 설정 변경으로 처리된다.</w:t>
      </w:r>
    </w:p>
    <w:p>
      <w:pPr>
        <w:pStyle w:val="Heading2"/>
        <w:pBdr>
          <w:bottom w:val="single" w:color="D0D0D0" w:sz="6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A-6. AI 생성 코드 표기의 근거</w:t>
      </w:r>
    </w:p>
    <w:p>
      <w:pPr>
        <w:spacing w:after="10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AI가 생성한 코드는 문법과 명명이 정상인 상태에서 산출값만 오류인 경우가 발생한다. 이러한 오류는 코드 열람으로는 발견되지 않으며, 입력값을 대입한 수치 대조를 통해서만 확인된다.</w:t>
      </w:r>
    </w:p>
    <w:p>
      <w:pPr>
        <w:spacing w:after="10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표기를 운영하는 목적은 다음과 같다.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638"/>
        <w:jc w:val="center"/>
        <w:tblBorders>
          <w:top w:val="single" w:color="1F3864" w:sz="4"/>
          <w:left w:val="none"/>
          <w:bottom w:val="single" w:color="1F3864" w:sz="4"/>
          <w:right w:val="none"/>
          <w:insideH w:val="single" w:color="D9D9D9" w:sz="2"/>
          <w:insideV w:val="single" w:color="F0F0F0" w:sz="2"/>
        </w:tblBorders>
      </w:tblPr>
      <w:tblGrid>
        <w:gridCol w:w="551"/>
        <w:gridCol w:w="9087"/>
      </w:tblGrid>
      <w:tr>
        <w:trPr>
          <w:tblHeader/>
        </w:trPr>
        <w:tc>
          <w:tcPr>
            <w:tcW w:type="dxa" w:w="551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9087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목적</w:t>
            </w:r>
          </w:p>
        </w:tc>
      </w:tr>
      <w:tr>
        <w:tc>
          <w:tcPr>
            <w:tcW w:type="dxa" w:w="55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08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대조 완료 코드와 미완료 코드를 구분한다</w:t>
            </w:r>
          </w:p>
        </w:tc>
      </w:tr>
      <w:tr>
        <w:tc>
          <w:tcPr>
            <w:tcW w:type="dxa" w:w="55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908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미대조 코드가 검토 및 발표 대상에 포함되는 것을 방지한다</w:t>
            </w:r>
          </w:p>
        </w:tc>
      </w:tr>
    </w:tbl>
    <w:p>
      <w:pPr>
        <w:spacing w:after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2E75B6"/>
          <w:sz w:val="21"/>
          <w:szCs w:val="21"/>
        </w:rPr>
        <w:t xml:space="preserve">A-6-1. 명명에 의한 판단 금지</w:t>
      </w:r>
    </w:p>
    <w:p>
      <w:pPr>
        <w:spacing w:after="10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함수명 또는 주석에 기재된 명칭과 실제 동작이 상이할 수 있다. 이전 개발 과정에서 「10Hz 필터」로 명명된 코드의 실제 차단 지점이 4.2Hz로 확인된 사례가 있다.</w:t>
      </w:r>
    </w:p>
    <w:p>
      <w:pPr>
        <w:spacing w:after="10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따라서 명칭을 근거로 판단하지 않으며, 수기 계산이 가능한 입력값을 사용하여 결과를 대조한 후 「근거: 측정」으로 기재한다.</w:t>
      </w:r>
    </w:p>
    <w:p>
      <w:r>
        <w:br w:type="page"/>
      </w:r>
    </w:p>
    <w:p>
      <w:pPr>
        <w:pStyle w:val="Heading1"/>
        <w:pBdr>
          <w:bottom w:val="single" w:color="1F3864" w:sz="14" w:space="6"/>
        </w:pBdr>
        <w:spacing w:after="220" w:before="360" w:lin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부록 B. 작성 예시</w:t>
      </w:r>
    </w:p>
    <w:p>
      <w:pPr>
        <w:spacing w:after="200" w:before="0" w:line="276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아래는 규칙 적용 형태를 제시하기 위한 예시이며, 실제 프로젝트 코드가 아니다.</w:t>
      </w:r>
    </w:p>
    <w:p>
      <w:pPr>
        <w:pStyle w:val="Heading2"/>
        <w:pBdr>
          <w:bottom w:val="single" w:color="D0D0D0" w:sz="6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B-1. 등급 1 — 수치를 산출하는 함수</w:t>
      </w:r>
    </w:p>
    <w:tbl>
      <w:tblPr>
        <w:tblW w:type="dxa" w:w="9638"/>
        <w:jc w:val="center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2F2F2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7D32"/>
                <w:sz w:val="17"/>
                <w:szCs w:val="17"/>
              </w:rPr>
              <w:t xml:space="preserve">/// 목적: 값 목록의 표준편차를 산출한다.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7D32"/>
                <w:sz w:val="17"/>
                <w:szCs w:val="17"/>
              </w:rPr>
              <w:t xml:space="preserve">///       측정값의 분산 정도를 확인하기 위해 사용한다.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7D32"/>
                <w:sz w:val="17"/>
                <w:szCs w:val="17"/>
              </w:rPr>
              <w:t xml:space="preserve">/// 인자: valuesC — 온도 값 목록 (섭씨, 2개 이상)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7D32"/>
                <w:sz w:val="17"/>
                <w:szCs w:val="17"/>
              </w:rPr>
              <w:t xml:space="preserve">/// 반환: 표준편차 (섭씨). 목록이 2개 미만인 경우 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7D32"/>
                <w:sz w:val="17"/>
                <w:szCs w:val="17"/>
              </w:rPr>
              <w:t xml:space="preserve">/// 근거: 측정 — 분산 판정 기준, 8/5, 홍길동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double stdDevC(List&lt;double&gt; valuesC)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if (valuesC.length &lt; 2) return 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final mean = valuesC.reduce((a, b) =&gt; a + b) / valuesC.length;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final sumSq = valuesC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.map((v) =&gt; (v - mean) * (v - mean))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.reduce((a, b) =&gt; a + b);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return sqrt(sumSq / (valuesC.length - 1));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pBdr>
          <w:bottom w:val="single" w:color="D0D0D0" w:sz="6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B-2. 등급 1+ — 수식을 차용한 함수</w:t>
      </w:r>
    </w:p>
    <w:tbl>
      <w:tblPr>
        <w:tblW w:type="dxa" w:w="9638"/>
        <w:jc w:val="center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2F2F2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7D32"/>
                <w:sz w:val="17"/>
                <w:szCs w:val="17"/>
              </w:rPr>
              <w:t xml:space="preserve">/// 목적: 기온과 풍속으로 체감온도를 산출한다.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7D32"/>
                <w:sz w:val="17"/>
                <w:szCs w:val="17"/>
              </w:rPr>
              <w:t xml:space="preserve">/// 인자: tempC   — 기온 (섭씨, 10 이하에서 유효)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7D32"/>
                <w:sz w:val="17"/>
                <w:szCs w:val="17"/>
              </w:rPr>
              <w:t xml:space="preserve">///       windKmh — 풍속 (킬로미터/시, 5 이상에서 유효)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7D32"/>
                <w:sz w:val="17"/>
                <w:szCs w:val="17"/>
              </w:rPr>
              <w:t xml:space="preserve">/// 반환: 체감온도 (섭씨). 유효 범위를 벗어나는 경우 tempC 를 반환한다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7D32"/>
                <w:sz w:val="17"/>
                <w:szCs w:val="17"/>
              </w:rPr>
              <w:t xml:space="preserve">/// 식:   T_wc = 13.12 + 0.6215·T - 11.37·V^0.16 + 0.3965·T·V^0.16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7D32"/>
                <w:sz w:val="17"/>
                <w:szCs w:val="17"/>
              </w:rPr>
              <w:t xml:space="preserve">///         T = 기온 (섭씨),  V = 풍속 (킬로미터/시)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7D32"/>
                <w:sz w:val="17"/>
                <w:szCs w:val="17"/>
              </w:rPr>
              <w:t xml:space="preserve">///         T_wc → 반환값,  T → tempC,  V → windKmh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7D32"/>
                <w:sz w:val="17"/>
                <w:szCs w:val="17"/>
              </w:rPr>
              <w:t xml:space="preserve">/// 근거: 인용 — 캐나다 기상청(Environment Canada) 체감온도 산식,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7D32"/>
                <w:sz w:val="17"/>
                <w:szCs w:val="17"/>
              </w:rPr>
              <w:t xml:space="preserve">///       "Wind Chill Index" 문서, 접속 2026-08-05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double windChillC(double tempC, double windKmh)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if (tempC &gt; 10 || windKmh &lt; 5) return tempC;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final v16 = pow(windKmh, 0.16);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return 13.12 + 0.6215 * tempC - 11.37 * v16 + 0.3965 * tempC * v16;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638"/>
        <w:jc w:val="center"/>
        <w:tblBorders>
          <w:top w:val="single" w:color="1F3864" w:sz="4"/>
          <w:left w:val="none"/>
          <w:bottom w:val="single" w:color="1F3864" w:sz="4"/>
          <w:right w:val="none"/>
          <w:insideH w:val="single" w:color="D9D9D9" w:sz="2"/>
          <w:insideV w:val="single" w:color="F0F0F0" w:sz="2"/>
        </w:tblBorders>
      </w:tblPr>
      <w:tblGrid>
        <w:gridCol w:w="2203"/>
        <w:gridCol w:w="7435"/>
      </w:tblGrid>
      <w:tr>
        <w:trPr>
          <w:tblHeader/>
        </w:trPr>
        <w:tc>
          <w:tcPr>
            <w:tcW w:type="dxa" w:w="2203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적용 항목</w:t>
            </w:r>
          </w:p>
        </w:tc>
        <w:tc>
          <w:tcPr>
            <w:tcW w:type="dxa" w:w="7435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2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원문 기호 표기</w:t>
            </w:r>
          </w:p>
        </w:tc>
        <w:tc>
          <w:tcPr>
            <w:tcW w:type="dxa" w:w="743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원식의 기호(T, V, T_wc)를 그대로 기재하고 코드 변수와의 대응 관계를 별도 기재하였다</w:t>
            </w:r>
          </w:p>
        </w:tc>
      </w:tr>
      <w:tr>
        <w:tc>
          <w:tcPr>
            <w:tcW w:type="dxa" w:w="22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상수 처리</w:t>
            </w:r>
          </w:p>
        </w:tc>
        <w:tc>
          <w:tcPr>
            <w:tcW w:type="dxa" w:w="743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식 내 상수(13.12, 0.6215 등)는 설정 파일로 분리하지 않았다. 「식:」 항목에 원식이 기재되어 있기 때문이다</w:t>
            </w:r>
          </w:p>
        </w:tc>
      </w:tr>
      <w:tr>
        <w:tc>
          <w:tcPr>
            <w:tcW w:type="dxa" w:w="22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예외 동작</w:t>
            </w:r>
          </w:p>
        </w:tc>
        <w:tc>
          <w:tcPr>
            <w:tcW w:type="dxa" w:w="743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유효 범위를 벗어나는 경우의 동작을 「반환:」 항목에 기재하였다</w:t>
            </w:r>
          </w:p>
        </w:tc>
      </w:tr>
    </w:tbl>
    <w:p>
      <w:pPr>
        <w:pStyle w:val="Heading2"/>
        <w:pBdr>
          <w:bottom w:val="single" w:color="D0D0D0" w:sz="6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B-3. 등급 2 — 데이터를 전달하는 함수</w:t>
      </w:r>
    </w:p>
    <w:tbl>
      <w:tblPr>
        <w:tblW w:type="dxa" w:w="9638"/>
        <w:jc w:val="center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2F2F2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7D32"/>
                <w:sz w:val="17"/>
                <w:szCs w:val="17"/>
              </w:rPr>
              <w:t xml:space="preserve">/// 목적: 측정값 목록을 파일로 저장한다.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Future&lt;void&gt; saveToFile(String path, List&lt;double&gt; valuesC) async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final text = valuesC.map((v) =&gt; v.toStringAsFixed(2)).join('\n');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await File(path).writeAsString(text);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pBdr>
          <w:bottom w:val="single" w:color="D0D0D0" w:sz="6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B-4. 등급 3 — 내부 보조 함수</w:t>
      </w:r>
    </w:p>
    <w:p>
      <w:pPr>
        <w:spacing w:after="10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주석을 기재하지 않고 명명으로 기능을 표현한다.</w:t>
      </w:r>
    </w:p>
    <w:tbl>
      <w:tblPr>
        <w:tblW w:type="dxa" w:w="9638"/>
        <w:jc w:val="center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2F2F2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7D32"/>
                <w:sz w:val="17"/>
                <w:szCs w:val="17"/>
              </w:rPr>
              <w:t xml:space="preserve">// 부적합 — 명명이 기능을 표현하지 못한다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double _conv(double v) =&gt; v / 3.6;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7D32"/>
                <w:sz w:val="17"/>
                <w:szCs w:val="17"/>
              </w:rPr>
              <w:t xml:space="preserve">// 적합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double _kmhToMs(double kmh) =&gt; kmh / 3.6;</w:t>
            </w:r>
          </w:p>
        </w:tc>
      </w:tr>
    </w:tbl>
    <w:p>
      <w:pPr>
        <w:spacing w:after="14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명명만으로 기능 표현이 불가능한 경우 주석을 부가하지 않고 명명을 수정한다.</w:t>
      </w:r>
    </w:p>
    <w:p>
      <w:pPr>
        <w:pStyle w:val="Heading2"/>
        <w:pBdr>
          <w:bottom w:val="single" w:color="D0D0D0" w:sz="6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B-5. 단위 표기 예시</w:t>
      </w:r>
    </w:p>
    <w:tbl>
      <w:tblPr>
        <w:tblW w:type="dxa" w:w="9638"/>
        <w:jc w:val="center"/>
        <w:tblBorders>
          <w:top w:val="single" w:color="1F3864" w:sz="4"/>
          <w:left w:val="none"/>
          <w:bottom w:val="single" w:color="1F3864" w:sz="4"/>
          <w:right w:val="none"/>
          <w:insideH w:val="single" w:color="D9D9D9" w:sz="2"/>
          <w:insideV w:val="single" w:color="F0F0F0" w:sz="2"/>
        </w:tblBorders>
      </w:tblPr>
      <w:tblGrid>
        <w:gridCol w:w="3029"/>
        <w:gridCol w:w="3580"/>
        <w:gridCol w:w="3029"/>
      </w:tblGrid>
      <w:tr>
        <w:trPr>
          <w:tblHeader/>
        </w:trPr>
        <w:tc>
          <w:tcPr>
            <w:tcW w:type="dxa" w:w="3029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부적합</w:t>
            </w:r>
          </w:p>
        </w:tc>
        <w:tc>
          <w:tcPr>
            <w:tcW w:type="dxa" w:w="3580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적합</w:t>
            </w:r>
          </w:p>
        </w:tc>
        <w:tc>
          <w:tcPr>
            <w:tcW w:type="dxa" w:w="3029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</w:tr>
      <w:tr>
        <w:tc>
          <w:tcPr>
            <w:tcW w:type="dxa" w:w="302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358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E7D32"/>
                <w:sz w:val="18"/>
                <w:szCs w:val="18"/>
              </w:rPr>
              <w:t xml:space="preserve">tsUs</w:t>
            </w:r>
          </w:p>
        </w:tc>
        <w:tc>
          <w:tcPr>
            <w:tcW w:type="dxa" w:w="302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마이크로초</w:t>
            </w:r>
          </w:p>
        </w:tc>
      </w:tr>
      <w:tr>
        <w:tc>
          <w:tcPr>
            <w:tcW w:type="dxa" w:w="302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interval</w:t>
            </w:r>
          </w:p>
        </w:tc>
        <w:tc>
          <w:tcPr>
            <w:tcW w:type="dxa" w:w="358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E7D32"/>
                <w:sz w:val="18"/>
                <w:szCs w:val="18"/>
              </w:rPr>
              <w:t xml:space="preserve">intervalUs</w:t>
            </w:r>
          </w:p>
        </w:tc>
        <w:tc>
          <w:tcPr>
            <w:tcW w:type="dxa" w:w="302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마이크로초</w:t>
            </w:r>
          </w:p>
        </w:tc>
      </w:tr>
      <w:tr>
        <w:tc>
          <w:tcPr>
            <w:tcW w:type="dxa" w:w="302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rate</w:t>
            </w:r>
          </w:p>
        </w:tc>
        <w:tc>
          <w:tcPr>
            <w:tcW w:type="dxa" w:w="358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E7D32"/>
                <w:sz w:val="18"/>
                <w:szCs w:val="18"/>
              </w:rPr>
              <w:t xml:space="preserve">rateHz</w:t>
            </w:r>
          </w:p>
        </w:tc>
        <w:tc>
          <w:tcPr>
            <w:tcW w:type="dxa" w:w="302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헤르츠</w:t>
            </w:r>
          </w:p>
        </w:tc>
      </w:tr>
      <w:tr>
        <w:tc>
          <w:tcPr>
            <w:tcW w:type="dxa" w:w="302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cutoff</w:t>
            </w:r>
          </w:p>
        </w:tc>
        <w:tc>
          <w:tcPr>
            <w:tcW w:type="dxa" w:w="358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E7D32"/>
                <w:sz w:val="18"/>
                <w:szCs w:val="18"/>
              </w:rPr>
              <w:t xml:space="preserve">cutoffHz</w:t>
            </w:r>
          </w:p>
        </w:tc>
        <w:tc>
          <w:tcPr>
            <w:tcW w:type="dxa" w:w="302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헤르츠</w:t>
            </w:r>
          </w:p>
        </w:tc>
      </w:tr>
      <w:tr>
        <w:tc>
          <w:tcPr>
            <w:tcW w:type="dxa" w:w="302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x</w:t>
            </w:r>
          </w:p>
        </w:tc>
        <w:tc>
          <w:tcPr>
            <w:tcW w:type="dxa" w:w="358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E7D32"/>
                <w:sz w:val="18"/>
                <w:szCs w:val="18"/>
              </w:rPr>
              <w:t xml:space="preserve">rawXMg</w:t>
            </w:r>
          </w:p>
        </w:tc>
        <w:tc>
          <w:tcPr>
            <w:tcW w:type="dxa" w:w="302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밀리지</w:t>
            </w:r>
          </w:p>
        </w:tc>
      </w:tr>
      <w:tr>
        <w:tc>
          <w:tcPr>
            <w:tcW w:type="dxa" w:w="302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noise</w:t>
            </w:r>
          </w:p>
        </w:tc>
        <w:tc>
          <w:tcPr>
            <w:tcW w:type="dxa" w:w="358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E7D32"/>
                <w:sz w:val="18"/>
                <w:szCs w:val="18"/>
              </w:rPr>
              <w:t xml:space="preserve">noiseDba</w:t>
            </w:r>
          </w:p>
        </w:tc>
        <w:tc>
          <w:tcPr>
            <w:tcW w:type="dxa" w:w="302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데시벨</w:t>
            </w:r>
          </w:p>
        </w:tc>
      </w:tr>
      <w:tr>
        <w:tc>
          <w:tcPr>
            <w:tcW w:type="dxa" w:w="302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duration</w:t>
            </w:r>
          </w:p>
        </w:tc>
        <w:tc>
          <w:tcPr>
            <w:tcW w:type="dxa" w:w="358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E7D32"/>
                <w:sz w:val="18"/>
                <w:szCs w:val="18"/>
              </w:rPr>
              <w:t xml:space="preserve">durationSec</w:t>
            </w:r>
          </w:p>
        </w:tc>
        <w:tc>
          <w:tcPr>
            <w:tcW w:type="dxa" w:w="302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초</w:t>
            </w:r>
          </w:p>
        </w:tc>
      </w:tr>
      <w:tr>
        <w:tc>
          <w:tcPr>
            <w:tcW w:type="dxa" w:w="302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distance</w:t>
            </w:r>
          </w:p>
        </w:tc>
        <w:tc>
          <w:tcPr>
            <w:tcW w:type="dxa" w:w="358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E7D32"/>
                <w:sz w:val="18"/>
                <w:szCs w:val="18"/>
              </w:rPr>
              <w:t xml:space="preserve">distanceM</w:t>
            </w:r>
          </w:p>
        </w:tc>
        <w:tc>
          <w:tcPr>
            <w:tcW w:type="dxa" w:w="302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미터</w:t>
            </w:r>
          </w:p>
        </w:tc>
      </w:tr>
      <w:tr>
        <w:tc>
          <w:tcPr>
            <w:tcW w:type="dxa" w:w="302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speed</w:t>
            </w:r>
          </w:p>
        </w:tc>
        <w:tc>
          <w:tcPr>
            <w:tcW w:type="dxa" w:w="358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E7D32"/>
                <w:sz w:val="18"/>
                <w:szCs w:val="18"/>
              </w:rPr>
              <w:t xml:space="preserve">speedMs</w:t>
            </w:r>
          </w:p>
        </w:tc>
        <w:tc>
          <w:tcPr>
            <w:tcW w:type="dxa" w:w="302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미터/초</w:t>
            </w:r>
          </w:p>
        </w:tc>
      </w:tr>
      <w:tr>
        <w:tc>
          <w:tcPr>
            <w:tcW w:type="dxa" w:w="302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temp</w:t>
            </w:r>
          </w:p>
        </w:tc>
        <w:tc>
          <w:tcPr>
            <w:tcW w:type="dxa" w:w="358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E7D32"/>
                <w:sz w:val="18"/>
                <w:szCs w:val="18"/>
              </w:rPr>
              <w:t xml:space="preserve">tempC</w:t>
            </w:r>
          </w:p>
        </w:tc>
        <w:tc>
          <w:tcPr>
            <w:tcW w:type="dxa" w:w="302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섭씨</w:t>
            </w:r>
          </w:p>
        </w:tc>
      </w:tr>
    </w:tbl>
    <w:p>
      <w:pPr>
        <w:spacing w:after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단위는 축약하여 이름 뒤에 표기한다. 마이크로초 Us, 헤르츠 Hz, 미터 M, 초 Sec. 복합 단위는 순서대로 표기한다. 예: 미터/초 → speedMs</w:t>
      </w:r>
    </w:p>
    <w:p>
      <w:pPr>
        <w:pStyle w:val="Heading2"/>
        <w:pBdr>
          <w:bottom w:val="single" w:color="D0D0D0" w:sz="6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B-6. 설정 파일</w:t>
      </w:r>
    </w:p>
    <w:tbl>
      <w:tblPr>
        <w:tblW w:type="dxa" w:w="9638"/>
        <w:jc w:val="center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2F2F2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class SampleConfig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7D32"/>
                <w:sz w:val="17"/>
                <w:szCs w:val="17"/>
              </w:rPr>
              <w:t xml:space="preserve">  /// 측정 주기 (헤르츠)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7D32"/>
                <w:sz w:val="17"/>
                <w:szCs w:val="17"/>
              </w:rPr>
              <w:t xml:space="preserve">  /// 근거: 미정 — 비교 측정 후 확정, 홍길동, 8/11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static const int sampleRateHz = 256;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7D32"/>
                <w:sz w:val="17"/>
                <w:szCs w:val="17"/>
              </w:rPr>
              <w:t xml:space="preserve">  /// 정상 범위로 판정할 값의 최대 개수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7D32"/>
                <w:sz w:val="17"/>
                <w:szCs w:val="17"/>
              </w:rPr>
              <w:t xml:space="preserve">  /// 근거: 표준 — KS X 0000:2024, 5.3절 표 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static const int maxCount = 10000;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7D32"/>
                <w:sz w:val="17"/>
                <w:szCs w:val="17"/>
              </w:rPr>
              <w:t xml:space="preserve">  /// 킬로미터/시 를 미터/초 로 환산할 때의 제수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7D32"/>
                <w:sz w:val="17"/>
                <w:szCs w:val="17"/>
              </w:rPr>
              <w:t xml:space="preserve">  /// 식:   1 km/h = 1000 m / 3600 s = 1 / 3.6 m/s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7D32"/>
                <w:sz w:val="17"/>
                <w:szCs w:val="17"/>
              </w:rPr>
              <w:t xml:space="preserve">  /// 근거: 표준 — 단위 정의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static const double kmhToMsDivisor = 3.6;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pBdr>
          <w:bottom w:val="single" w:color="D0D0D0" w:sz="6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B-7. AI 생성 코드 표기</w:t>
      </w:r>
    </w:p>
    <w:p>
      <w:pPr>
        <w:spacing w:after="80" w:before="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수치 대조 이전</w:t>
      </w:r>
    </w:p>
    <w:tbl>
      <w:tblPr>
        <w:tblW w:type="dxa" w:w="9638"/>
        <w:jc w:val="center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2F2F2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7D32"/>
                <w:sz w:val="17"/>
                <w:szCs w:val="17"/>
              </w:rPr>
              <w:t xml:space="preserve">/// 목적: 값 목록의 중앙값을 산출한다.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7D32"/>
                <w:sz w:val="17"/>
                <w:szCs w:val="17"/>
              </w:rPr>
              <w:t xml:space="preserve">/// 인자: values — 값 목록 (1개 이상)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7D32"/>
                <w:sz w:val="17"/>
                <w:szCs w:val="17"/>
              </w:rPr>
              <w:t xml:space="preserve">/// 반환: 중앙값. 목록이 비어 있는 경우 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7D32"/>
                <w:sz w:val="17"/>
                <w:szCs w:val="17"/>
              </w:rPr>
              <w:t xml:space="preserve">/// 확인: 안 함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double median(List&lt;double&gt; values) { ... }</w:t>
            </w:r>
          </w:p>
        </w:tc>
      </w:tr>
    </w:tbl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수치 대조 이후</w:t>
      </w:r>
    </w:p>
    <w:tbl>
      <w:tblPr>
        <w:tblW w:type="dxa" w:w="9638"/>
        <w:jc w:val="center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2F2F2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7D32"/>
                <w:sz w:val="17"/>
                <w:szCs w:val="17"/>
              </w:rPr>
              <w:t xml:space="preserve">/// 목적: 값 목록의 중앙값을 산출한다.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7D32"/>
                <w:sz w:val="17"/>
                <w:szCs w:val="17"/>
              </w:rPr>
              <w:t xml:space="preserve">/// 인자: values — 값 목록 (1개 이상)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7D32"/>
                <w:sz w:val="17"/>
                <w:szCs w:val="17"/>
              </w:rPr>
              <w:t xml:space="preserve">/// 반환: 중앙값. 목록이 비어 있는 경우 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7D32"/>
                <w:sz w:val="17"/>
                <w:szCs w:val="17"/>
              </w:rPr>
              <w:t xml:space="preserve">/// 근거: 측정 — [1,2,3,4] → 2.5, [1,2,3] → 2 대조 확인, 8/5, 홍길동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double median(List&lt;double&gt; values) { ... }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2026-08-05T12:42:54.340Z</dcterms:created>
  <dcterms:modified xsi:type="dcterms:W3CDTF">2026-08-05T12:42:54.354Z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