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3612328"/>
        <w:docPartObj>
          <w:docPartGallery w:val="Cover Pages"/>
          <w:docPartUnique/>
        </w:docPartObj>
      </w:sdtPr>
      <w:sdtContent>
        <w:p w:rsidR="00BB1257" w:rsidRDefault="00BB1257">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B1257" w:rsidRDefault="00BB1257">
                                <w:pPr>
                                  <w:pStyle w:val="NoSpacing"/>
                                  <w:rPr>
                                    <w:noProof/>
                                    <w:color w:val="455F51" w:themeColor="text2"/>
                                  </w:rPr>
                                </w:pPr>
                                <w:sdt>
                                  <w:sdtPr>
                                    <w:rPr>
                                      <w:noProof/>
                                      <w:color w:val="455F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55F51" w:themeColor="text2"/>
                                      </w:rPr>
                                      <w:t>Weston Forbes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B1257" w:rsidRDefault="00BB1257">
                          <w:pPr>
                            <w:pStyle w:val="NoSpacing"/>
                            <w:rPr>
                              <w:noProof/>
                              <w:color w:val="455F51" w:themeColor="text2"/>
                            </w:rPr>
                          </w:pPr>
                          <w:sdt>
                            <w:sdtPr>
                              <w:rPr>
                                <w:noProof/>
                                <w:color w:val="455F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55F51" w:themeColor="text2"/>
                                </w:rPr>
                                <w:t>Weston Forbes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B1257" w:rsidRDefault="00BB12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aefd3 [660]" stroked="f" strokeweight="1pt">
                    <v:fill color2="#93d07c [1940]" rotate="t" focus="100%" type="gradient">
                      <o:fill v:ext="view" type="gradientUnscaled"/>
                    </v:fill>
                    <v:path arrowok="t"/>
                    <v:textbox inset="21.6pt,,21.6pt">
                      <w:txbxContent>
                        <w:p w:rsidR="00BB1257" w:rsidRDefault="00BB12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257" w:rsidRDefault="00BB1257" w:rsidP="00BB1257">
                                <w:pPr>
                                  <w:spacing w:before="240"/>
                                  <w:rPr>
                                    <w:color w:val="FFFFFF" w:themeColor="background1"/>
                                  </w:rPr>
                                </w:pPr>
                                <w:r>
                                  <w:rPr>
                                    <w:noProof/>
                                    <w:color w:val="FFFFFF" w:themeColor="background1"/>
                                  </w:rPr>
                                  <w:drawing>
                                    <wp:inline distT="0" distB="0" distL="0" distR="0">
                                      <wp:extent cx="2463330" cy="163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PNG FullSiz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0818" cy="1643536"/>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55f51 [3215]" stroked="f" strokeweight="1pt">
                    <v:textbox inset="14.4pt,14.4pt,14.4pt,28.8pt">
                      <w:txbxContent>
                        <w:p w:rsidR="00BB1257" w:rsidRDefault="00BB1257" w:rsidP="00BB1257">
                          <w:pPr>
                            <w:spacing w:before="240"/>
                            <w:rPr>
                              <w:color w:val="FFFFFF" w:themeColor="background1"/>
                            </w:rPr>
                          </w:pPr>
                          <w:r>
                            <w:rPr>
                              <w:noProof/>
                              <w:color w:val="FFFFFF" w:themeColor="background1"/>
                            </w:rPr>
                            <w:drawing>
                              <wp:inline distT="0" distB="0" distL="0" distR="0">
                                <wp:extent cx="2463330" cy="163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PNG FullSiz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0818" cy="1643536"/>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450E5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86785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1B110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49E39" w:themeColor="accent1"/>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B1257" w:rsidRPr="00BB1257" w:rsidRDefault="00BB1257">
                                    <w:pPr>
                                      <w:spacing w:line="240" w:lineRule="auto"/>
                                      <w:rPr>
                                        <w:rFonts w:asciiTheme="majorHAnsi" w:eastAsiaTheme="majorEastAsia" w:hAnsiTheme="majorHAnsi" w:cstheme="majorBidi"/>
                                        <w:noProof/>
                                        <w:color w:val="549E39" w:themeColor="accent1"/>
                                        <w:sz w:val="52"/>
                                        <w:szCs w:val="144"/>
                                      </w:rPr>
                                    </w:pPr>
                                    <w:r w:rsidRPr="00BB1257">
                                      <w:rPr>
                                        <w:rFonts w:asciiTheme="majorHAnsi" w:eastAsiaTheme="majorEastAsia" w:hAnsiTheme="majorHAnsi" w:cstheme="majorBidi"/>
                                        <w:noProof/>
                                        <w:color w:val="549E39" w:themeColor="accent1"/>
                                        <w:sz w:val="52"/>
                                        <w:szCs w:val="72"/>
                                      </w:rPr>
                                      <w:t>Tyrannosaurus Plex</w:t>
                                    </w:r>
                                  </w:p>
                                </w:sdtContent>
                              </w:sdt>
                              <w:sdt>
                                <w:sdtPr>
                                  <w:rPr>
                                    <w:rFonts w:asciiTheme="majorHAnsi" w:eastAsiaTheme="majorEastAsia" w:hAnsiTheme="majorHAnsi" w:cstheme="majorBidi"/>
                                    <w:noProof/>
                                    <w:color w:val="455F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B1257" w:rsidRDefault="00BB1257">
                                    <w:pPr>
                                      <w:rPr>
                                        <w:rFonts w:asciiTheme="majorHAnsi" w:eastAsiaTheme="majorEastAsia" w:hAnsiTheme="majorHAnsi" w:cstheme="majorBidi"/>
                                        <w:noProof/>
                                        <w:color w:val="455F51" w:themeColor="text2"/>
                                        <w:sz w:val="32"/>
                                        <w:szCs w:val="40"/>
                                      </w:rPr>
                                    </w:pPr>
                                    <w:r>
                                      <w:rPr>
                                        <w:rFonts w:asciiTheme="majorHAnsi" w:eastAsiaTheme="majorEastAsia" w:hAnsiTheme="majorHAnsi" w:cstheme="majorBidi"/>
                                        <w:noProof/>
                                        <w:color w:val="455F51" w:themeColor="text2"/>
                                        <w:sz w:val="32"/>
                                        <w:szCs w:val="32"/>
                                      </w:rPr>
                                      <w:t>KEYENCE / PLEX Transfer Utility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49E39" w:themeColor="accent1"/>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B1257" w:rsidRPr="00BB1257" w:rsidRDefault="00BB1257">
                              <w:pPr>
                                <w:spacing w:line="240" w:lineRule="auto"/>
                                <w:rPr>
                                  <w:rFonts w:asciiTheme="majorHAnsi" w:eastAsiaTheme="majorEastAsia" w:hAnsiTheme="majorHAnsi" w:cstheme="majorBidi"/>
                                  <w:noProof/>
                                  <w:color w:val="549E39" w:themeColor="accent1"/>
                                  <w:sz w:val="52"/>
                                  <w:szCs w:val="144"/>
                                </w:rPr>
                              </w:pPr>
                              <w:r w:rsidRPr="00BB1257">
                                <w:rPr>
                                  <w:rFonts w:asciiTheme="majorHAnsi" w:eastAsiaTheme="majorEastAsia" w:hAnsiTheme="majorHAnsi" w:cstheme="majorBidi"/>
                                  <w:noProof/>
                                  <w:color w:val="549E39" w:themeColor="accent1"/>
                                  <w:sz w:val="52"/>
                                  <w:szCs w:val="72"/>
                                </w:rPr>
                                <w:t>Tyrannosaurus Plex</w:t>
                              </w:r>
                            </w:p>
                          </w:sdtContent>
                        </w:sdt>
                        <w:sdt>
                          <w:sdtPr>
                            <w:rPr>
                              <w:rFonts w:asciiTheme="majorHAnsi" w:eastAsiaTheme="majorEastAsia" w:hAnsiTheme="majorHAnsi" w:cstheme="majorBidi"/>
                              <w:noProof/>
                              <w:color w:val="455F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B1257" w:rsidRDefault="00BB1257">
                              <w:pPr>
                                <w:rPr>
                                  <w:rFonts w:asciiTheme="majorHAnsi" w:eastAsiaTheme="majorEastAsia" w:hAnsiTheme="majorHAnsi" w:cstheme="majorBidi"/>
                                  <w:noProof/>
                                  <w:color w:val="455F51" w:themeColor="text2"/>
                                  <w:sz w:val="32"/>
                                  <w:szCs w:val="40"/>
                                </w:rPr>
                              </w:pPr>
                              <w:r>
                                <w:rPr>
                                  <w:rFonts w:asciiTheme="majorHAnsi" w:eastAsiaTheme="majorEastAsia" w:hAnsiTheme="majorHAnsi" w:cstheme="majorBidi"/>
                                  <w:noProof/>
                                  <w:color w:val="455F51" w:themeColor="text2"/>
                                  <w:sz w:val="32"/>
                                  <w:szCs w:val="32"/>
                                </w:rPr>
                                <w:t>KEYENCE / PLEX Transfer Utility</w:t>
                              </w:r>
                            </w:p>
                          </w:sdtContent>
                        </w:sdt>
                      </w:txbxContent>
                    </v:textbox>
                    <w10:wrap type="square" anchorx="page" anchory="page"/>
                  </v:shape>
                </w:pict>
              </mc:Fallback>
            </mc:AlternateContent>
          </w:r>
        </w:p>
        <w:p w:rsidR="00BB1257" w:rsidRDefault="00BB1257">
          <w:pPr>
            <w:rPr>
              <w:caps/>
              <w:color w:val="FFFFFF" w:themeColor="background1"/>
              <w:spacing w:val="15"/>
              <w:sz w:val="22"/>
              <w:szCs w:val="22"/>
            </w:rPr>
          </w:pPr>
          <w:r>
            <w:br w:type="page"/>
          </w:r>
        </w:p>
      </w:sdtContent>
    </w:sdt>
    <w:p w:rsidR="00CA2B03" w:rsidRDefault="00CA2B03" w:rsidP="00CA2B03">
      <w:pPr>
        <w:pStyle w:val="Heading1"/>
      </w:pPr>
      <w:r>
        <w:lastRenderedPageBreak/>
        <w:t>Introduction</w:t>
      </w:r>
    </w:p>
    <w:p w:rsidR="00171970" w:rsidRDefault="00BB1257" w:rsidP="00CA2B03">
      <w:r>
        <w:t>Tyran</w:t>
      </w:r>
      <w:r w:rsidR="00171970">
        <w:t>nosaurus Plex is a program that transfers data between Keyence Optical Comparators and PLEX SPC check sheets. It accomplishes this by reading data from the Keyence CSV files and then simulating a user to type the values into PLEX. Once recipes are setup, all the user needs to do is select the recipe and press a button.</w:t>
      </w:r>
    </w:p>
    <w:p w:rsidR="00171970" w:rsidRDefault="00171970" w:rsidP="00CA2B03">
      <w:r>
        <w:t>The recipe setup process is also designed to be as “pain-free” as possible.</w:t>
      </w:r>
    </w:p>
    <w:p w:rsidR="00171970" w:rsidRDefault="00171970" w:rsidP="00171970">
      <w:pPr>
        <w:pStyle w:val="Heading1"/>
      </w:pPr>
      <w:r>
        <w:t>Injecting Data Into a SPC Checksheet</w:t>
      </w:r>
    </w:p>
    <w:p w:rsidR="00D61361" w:rsidRPr="00D61361" w:rsidRDefault="00D61361" w:rsidP="00D61361"/>
    <w:tbl>
      <w:tblPr>
        <w:tblStyle w:val="TableGrid"/>
        <w:tblW w:w="0" w:type="auto"/>
        <w:jc w:val="center"/>
        <w:tblLook w:val="04A0" w:firstRow="1" w:lastRow="0" w:firstColumn="1" w:lastColumn="0" w:noHBand="0" w:noVBand="1"/>
      </w:tblPr>
      <w:tblGrid>
        <w:gridCol w:w="936"/>
        <w:gridCol w:w="8414"/>
      </w:tblGrid>
      <w:tr w:rsidR="00D61361" w:rsidTr="00D61361">
        <w:trPr>
          <w:trHeight w:val="800"/>
          <w:jc w:val="center"/>
        </w:trPr>
        <w:tc>
          <w:tcPr>
            <w:tcW w:w="906" w:type="dxa"/>
            <w:vAlign w:val="center"/>
          </w:tcPr>
          <w:p w:rsidR="00D61361" w:rsidRDefault="00D61361" w:rsidP="00D61361">
            <w:pPr>
              <w:pStyle w:val="ListParagraph"/>
              <w:ind w:left="0"/>
            </w:pPr>
            <w:r>
              <w:rPr>
                <w:noProof/>
              </w:rPr>
              <w:drawing>
                <wp:inline distT="0" distB="0" distL="0" distR="0" wp14:anchorId="1DF11C16" wp14:editId="45CF2AA5">
                  <wp:extent cx="457200" cy="457200"/>
                  <wp:effectExtent l="0" t="0" r="0" b="0"/>
                  <wp:docPr id="19" name="Picture 19" descr="International Symbol Labels - General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tional Symbol Labels - General W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9164" w:type="dxa"/>
            <w:vAlign w:val="center"/>
          </w:tcPr>
          <w:p w:rsidR="00D61361" w:rsidRDefault="00D61361" w:rsidP="00752858">
            <w:pPr>
              <w:pStyle w:val="ListParagraph"/>
              <w:ind w:left="0"/>
            </w:pPr>
            <w:r>
              <w:t xml:space="preserve">This section assumes the desired recipe has already been set up. If the desired recipe does not exist, see </w:t>
            </w:r>
            <w:r>
              <w:fldChar w:fldCharType="begin"/>
            </w:r>
            <w:r>
              <w:instrText xml:space="preserve"> REF _Ref57116538 \h </w:instrText>
            </w:r>
            <w:r>
              <w:fldChar w:fldCharType="separate"/>
            </w:r>
            <w:r>
              <w:t>Recipe Setup</w:t>
            </w:r>
            <w:r>
              <w:fldChar w:fldCharType="end"/>
            </w:r>
            <w:r>
              <w:t>.</w:t>
            </w:r>
          </w:p>
        </w:tc>
      </w:tr>
    </w:tbl>
    <w:p w:rsidR="000A093E" w:rsidRDefault="000A093E" w:rsidP="000A093E">
      <w:bookmarkStart w:id="0" w:name="_Ref57116538"/>
      <w:bookmarkStart w:id="1" w:name="_GoBack"/>
      <w:bookmarkEnd w:id="1"/>
    </w:p>
    <w:p w:rsidR="00171970" w:rsidRDefault="00D61361" w:rsidP="00D61361">
      <w:pPr>
        <w:pStyle w:val="Heading1"/>
      </w:pPr>
      <w:r>
        <w:t>Recipe Setup</w:t>
      </w:r>
      <w:bookmarkEnd w:id="0"/>
    </w:p>
    <w:p w:rsidR="00D61361" w:rsidRPr="00D61361" w:rsidRDefault="00D61361" w:rsidP="00D61361"/>
    <w:p w:rsidR="007E716C" w:rsidRDefault="00BA11A9" w:rsidP="00BA11A9">
      <w:pPr>
        <w:pStyle w:val="Heading1"/>
      </w:pPr>
      <w:r>
        <w:t>Interface</w:t>
      </w:r>
    </w:p>
    <w:p w:rsidR="00BA11A9" w:rsidRDefault="00BA11A9" w:rsidP="00BA11A9">
      <w:pPr>
        <w:pStyle w:val="Heading2"/>
      </w:pPr>
      <w:r>
        <w:t>Main Screen</w:t>
      </w:r>
    </w:p>
    <w:p w:rsidR="00BA11A9" w:rsidRDefault="00BA11A9" w:rsidP="00BA11A9"/>
    <w:p w:rsidR="00BA11A9" w:rsidRDefault="00665D63" w:rsidP="00BA11A9">
      <w:pPr>
        <w:jc w:val="center"/>
      </w:pPr>
      <w:r>
        <w:rPr>
          <w:noProof/>
        </w:rPr>
        <w:drawing>
          <wp:inline distT="0" distB="0" distL="0" distR="0">
            <wp:extent cx="41529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352675"/>
                    </a:xfrm>
                    <a:prstGeom prst="rect">
                      <a:avLst/>
                    </a:prstGeom>
                    <a:noFill/>
                    <a:ln>
                      <a:noFill/>
                    </a:ln>
                  </pic:spPr>
                </pic:pic>
              </a:graphicData>
            </a:graphic>
          </wp:inline>
        </w:drawing>
      </w:r>
    </w:p>
    <w:p w:rsidR="00BA11A9" w:rsidRDefault="00BA11A9" w:rsidP="00BA11A9">
      <w:pPr>
        <w:pStyle w:val="Caption"/>
        <w:jc w:val="center"/>
      </w:pPr>
      <w:r>
        <w:t xml:space="preserve">Figure </w:t>
      </w:r>
      <w:fldSimple w:instr=" SEQ Figure \* ARABIC ">
        <w:r>
          <w:rPr>
            <w:noProof/>
          </w:rPr>
          <w:t>1</w:t>
        </w:r>
      </w:fldSimple>
      <w:r>
        <w:t xml:space="preserve"> - Main Screen</w:t>
      </w:r>
    </w:p>
    <w:p w:rsidR="00665D63" w:rsidRDefault="00665D63" w:rsidP="00665D63">
      <w:pPr>
        <w:pStyle w:val="Heading3"/>
      </w:pPr>
      <w:r>
        <w:t>Parts</w:t>
      </w:r>
    </w:p>
    <w:p w:rsidR="00665D63" w:rsidRDefault="00665D63" w:rsidP="00665D63">
      <w:pPr>
        <w:pStyle w:val="ListParagraph"/>
        <w:numPr>
          <w:ilvl w:val="0"/>
          <w:numId w:val="3"/>
        </w:numPr>
      </w:pPr>
      <w:r>
        <w:t>“Inject Data” Button – This is the button that the end user will use most of the time. It starts the process of moving data from the Keyence system over to the PLEX SPC check sheet.</w:t>
      </w:r>
    </w:p>
    <w:p w:rsidR="00665D63" w:rsidRDefault="00665D63" w:rsidP="00665D63">
      <w:pPr>
        <w:pStyle w:val="ListParagraph"/>
        <w:numPr>
          <w:ilvl w:val="0"/>
          <w:numId w:val="3"/>
        </w:numPr>
      </w:pPr>
      <w:r>
        <w:t>“Add Recipe” Button – This button allows users to add new recipes to Tyrannosaurus Plex.</w:t>
      </w:r>
    </w:p>
    <w:p w:rsidR="00665D63" w:rsidRDefault="00665D63" w:rsidP="00665D63">
      <w:pPr>
        <w:pStyle w:val="ListParagraph"/>
        <w:numPr>
          <w:ilvl w:val="0"/>
          <w:numId w:val="3"/>
        </w:numPr>
      </w:pPr>
      <w:r>
        <w:lastRenderedPageBreak/>
        <w:t>“Delete Recipe” Button – This button allows users to delete recipes from Tyrannosaurus Plex.</w:t>
      </w:r>
    </w:p>
    <w:p w:rsidR="00665D63" w:rsidRDefault="00665D63" w:rsidP="00665D63">
      <w:pPr>
        <w:pStyle w:val="ListParagraph"/>
        <w:numPr>
          <w:ilvl w:val="0"/>
          <w:numId w:val="3"/>
        </w:numPr>
      </w:pPr>
      <w:r>
        <w:t>“Edit Recipe” Button – This button allows users to edit recipes that currently exist in the Tyrannosaurus Plex Database.</w:t>
      </w:r>
    </w:p>
    <w:p w:rsidR="00665D63" w:rsidRDefault="00665D63" w:rsidP="00665D63">
      <w:pPr>
        <w:pStyle w:val="ListParagraph"/>
        <w:numPr>
          <w:ilvl w:val="0"/>
          <w:numId w:val="3"/>
        </w:numPr>
      </w:pPr>
      <w:r>
        <w:t>Selection Window – This is where a user selects the recipe they want to use.</w:t>
      </w:r>
    </w:p>
    <w:p w:rsidR="00CA2B03" w:rsidRDefault="00665D63" w:rsidP="00665D63">
      <w:pPr>
        <w:pStyle w:val="ListParagraph"/>
        <w:numPr>
          <w:ilvl w:val="0"/>
          <w:numId w:val="3"/>
        </w:numPr>
      </w:pPr>
      <w:r>
        <w:t>“Logs” Button – This is for troubleshooting. It brings up a display of all that is happening on the back-end of Tyrannosaurus Plex.</w:t>
      </w:r>
    </w:p>
    <w:p w:rsidR="00665D63" w:rsidRDefault="00CA2B03" w:rsidP="00CA2B03">
      <w:r>
        <w:br w:type="page"/>
      </w:r>
    </w:p>
    <w:p w:rsidR="00CA2B03" w:rsidRPr="00665D63" w:rsidRDefault="00CA2B03" w:rsidP="00CA2B03">
      <w:pPr>
        <w:pStyle w:val="Heading2"/>
      </w:pPr>
      <w:r>
        <w:lastRenderedPageBreak/>
        <w:t>Add / Edit Recipe Screen</w:t>
      </w:r>
    </w:p>
    <w:p w:rsidR="00665D63" w:rsidRDefault="00665D63" w:rsidP="00665D63">
      <w:r>
        <w:rPr>
          <w:noProof/>
        </w:rPr>
        <w:drawing>
          <wp:inline distT="0" distB="0" distL="0" distR="0">
            <wp:extent cx="585216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572000"/>
                    </a:xfrm>
                    <a:prstGeom prst="rect">
                      <a:avLst/>
                    </a:prstGeom>
                    <a:noFill/>
                    <a:ln>
                      <a:noFill/>
                    </a:ln>
                  </pic:spPr>
                </pic:pic>
              </a:graphicData>
            </a:graphic>
          </wp:inline>
        </w:drawing>
      </w:r>
    </w:p>
    <w:p w:rsidR="00CA2B03" w:rsidRDefault="00CA2B03" w:rsidP="00CA2B03">
      <w:pPr>
        <w:pStyle w:val="Heading3"/>
      </w:pPr>
      <w:r>
        <w:t>Parts</w:t>
      </w:r>
    </w:p>
    <w:p w:rsidR="00CA2B03" w:rsidRDefault="00CA2B03" w:rsidP="00CA2B03">
      <w:pPr>
        <w:pStyle w:val="ListParagraph"/>
        <w:numPr>
          <w:ilvl w:val="0"/>
          <w:numId w:val="4"/>
        </w:numPr>
      </w:pPr>
      <w:r>
        <w:t>“Internal Part” Field – Required for recipe to save. ASPCs internal part number.</w:t>
      </w:r>
    </w:p>
    <w:p w:rsidR="00CA2B03" w:rsidRDefault="00CA2B03" w:rsidP="00CA2B03">
      <w:pPr>
        <w:pStyle w:val="ListParagraph"/>
        <w:numPr>
          <w:ilvl w:val="0"/>
          <w:numId w:val="4"/>
        </w:numPr>
      </w:pPr>
      <w:r>
        <w:t>“</w:t>
      </w:r>
      <w:proofErr w:type="spellStart"/>
      <w:r>
        <w:t>Checksheet</w:t>
      </w:r>
      <w:proofErr w:type="spellEnd"/>
      <w:r>
        <w:t xml:space="preserve"> Type” List – Users must select what type of check sheet the recipe is. If new types need to be added, see the </w:t>
      </w:r>
      <w:r w:rsidRPr="00CA2B03">
        <w:rPr>
          <w:color w:val="FF0000"/>
        </w:rPr>
        <w:t>maintenance section</w:t>
      </w:r>
      <w:r>
        <w:t>.</w:t>
      </w:r>
    </w:p>
    <w:p w:rsidR="00CA2B03" w:rsidRDefault="00CA2B03" w:rsidP="00CA2B03">
      <w:pPr>
        <w:pStyle w:val="ListParagraph"/>
        <w:numPr>
          <w:ilvl w:val="0"/>
          <w:numId w:val="4"/>
        </w:numPr>
      </w:pPr>
      <w:r>
        <w:t>“Save” Button – Saves the recipe and closes the window.</w:t>
      </w:r>
    </w:p>
    <w:p w:rsidR="00CA2B03" w:rsidRDefault="00CA2B03" w:rsidP="00CA2B03">
      <w:pPr>
        <w:pStyle w:val="ListParagraph"/>
        <w:numPr>
          <w:ilvl w:val="0"/>
          <w:numId w:val="4"/>
        </w:numPr>
      </w:pPr>
      <w:r>
        <w:t>“Cancel” Button – Closes the window without saving.</w:t>
      </w:r>
    </w:p>
    <w:p w:rsidR="00CA2B03" w:rsidRDefault="00CA2B03" w:rsidP="00CA2B03">
      <w:pPr>
        <w:pStyle w:val="ListParagraph"/>
        <w:numPr>
          <w:ilvl w:val="0"/>
          <w:numId w:val="4"/>
        </w:numPr>
      </w:pPr>
      <w:r>
        <w:t xml:space="preserve">“Train Fields” Button – This button activates the key logger for recording key sequences. This is detailed in the </w:t>
      </w:r>
      <w:r w:rsidRPr="00CA2B03">
        <w:rPr>
          <w:color w:val="FF0000"/>
        </w:rPr>
        <w:t>Add / Edit recipe section.</w:t>
      </w:r>
    </w:p>
    <w:p w:rsidR="00CA2B03" w:rsidRDefault="00CA2B03" w:rsidP="00CA2B03">
      <w:pPr>
        <w:pStyle w:val="ListParagraph"/>
        <w:numPr>
          <w:ilvl w:val="0"/>
          <w:numId w:val="4"/>
        </w:numPr>
      </w:pPr>
      <w:r>
        <w:t>“Stop Training” Button – This button stops the key logging process.</w:t>
      </w:r>
    </w:p>
    <w:p w:rsidR="00CA2B03" w:rsidRDefault="00CA2B03" w:rsidP="00CA2B03">
      <w:pPr>
        <w:pStyle w:val="ListParagraph"/>
        <w:numPr>
          <w:ilvl w:val="0"/>
          <w:numId w:val="4"/>
        </w:numPr>
      </w:pPr>
      <w:r>
        <w:t>“Keyence CSV File” Field – This holds the location of the target csv file. It may be typed in or set through the “Browse” button.</w:t>
      </w:r>
    </w:p>
    <w:p w:rsidR="00CA2B03" w:rsidRDefault="00CA2B03" w:rsidP="00CA2B03">
      <w:pPr>
        <w:pStyle w:val="ListParagraph"/>
        <w:numPr>
          <w:ilvl w:val="0"/>
          <w:numId w:val="4"/>
        </w:numPr>
      </w:pPr>
      <w:r>
        <w:t xml:space="preserve">“Browse” Button – Opens an </w:t>
      </w:r>
      <w:proofErr w:type="spellStart"/>
      <w:r>
        <w:t>OpenFile</w:t>
      </w:r>
      <w:proofErr w:type="spellEnd"/>
      <w:r>
        <w:t xml:space="preserve"> Dialog for selecting CSV file.</w:t>
      </w:r>
    </w:p>
    <w:p w:rsidR="00CA2B03" w:rsidRDefault="00CA2B03" w:rsidP="00CA2B03">
      <w:pPr>
        <w:pStyle w:val="ListParagraph"/>
        <w:numPr>
          <w:ilvl w:val="0"/>
          <w:numId w:val="4"/>
        </w:numPr>
      </w:pPr>
      <w:r>
        <w:t>“Preview Data” Button – Refreshes the file data in the “Keyence CSV Preview” Window.</w:t>
      </w:r>
    </w:p>
    <w:p w:rsidR="00CA2B03" w:rsidRDefault="00CA2B03" w:rsidP="00CA2B03">
      <w:pPr>
        <w:pStyle w:val="ListParagraph"/>
        <w:numPr>
          <w:ilvl w:val="0"/>
          <w:numId w:val="4"/>
        </w:numPr>
      </w:pPr>
      <w:r>
        <w:t>“Keyence CSV Preview” Window – Shows the data from the CSV file.</w:t>
      </w:r>
    </w:p>
    <w:p w:rsidR="00CA2B03" w:rsidRDefault="00CA2B03" w:rsidP="00CA2B03">
      <w:pPr>
        <w:pStyle w:val="ListParagraph"/>
        <w:numPr>
          <w:ilvl w:val="0"/>
          <w:numId w:val="4"/>
        </w:numPr>
      </w:pPr>
      <w:r>
        <w:t xml:space="preserve">“Column Assigners” – These buttons flag the currently selected column in the “Keyence CSV Preview” window. This is detailed in more depth in the </w:t>
      </w:r>
      <w:r w:rsidRPr="00CA2B03">
        <w:rPr>
          <w:color w:val="FF0000"/>
        </w:rPr>
        <w:t>Add/Edit recipes section</w:t>
      </w:r>
      <w:r>
        <w:t>.</w:t>
      </w:r>
    </w:p>
    <w:sectPr w:rsidR="00CA2B03" w:rsidSect="007E71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2130"/>
    <w:multiLevelType w:val="hybridMultilevel"/>
    <w:tmpl w:val="C85E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18CB"/>
    <w:multiLevelType w:val="hybridMultilevel"/>
    <w:tmpl w:val="B30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5D6B"/>
    <w:multiLevelType w:val="hybridMultilevel"/>
    <w:tmpl w:val="559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65E4A"/>
    <w:multiLevelType w:val="hybridMultilevel"/>
    <w:tmpl w:val="3CDA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6C"/>
    <w:rsid w:val="000A093E"/>
    <w:rsid w:val="00171970"/>
    <w:rsid w:val="00367954"/>
    <w:rsid w:val="003D38E2"/>
    <w:rsid w:val="00665D63"/>
    <w:rsid w:val="006E72EF"/>
    <w:rsid w:val="00743F29"/>
    <w:rsid w:val="007E716C"/>
    <w:rsid w:val="00BA11A9"/>
    <w:rsid w:val="00BB1257"/>
    <w:rsid w:val="00CA2B03"/>
    <w:rsid w:val="00D6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F30AB-E9D9-485E-BA7D-ABAD8F18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16C"/>
  </w:style>
  <w:style w:type="paragraph" w:styleId="Heading1">
    <w:name w:val="heading 1"/>
    <w:basedOn w:val="Normal"/>
    <w:next w:val="Normal"/>
    <w:link w:val="Heading1Char"/>
    <w:uiPriority w:val="9"/>
    <w:qFormat/>
    <w:rsid w:val="007E716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716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E716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7E716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7E716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7E716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7E716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7E71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716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6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7E716C"/>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7E71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716C"/>
    <w:rPr>
      <w:caps/>
      <w:color w:val="595959" w:themeColor="text1" w:themeTint="A6"/>
      <w:spacing w:val="10"/>
      <w:sz w:val="21"/>
      <w:szCs w:val="21"/>
    </w:rPr>
  </w:style>
  <w:style w:type="character" w:customStyle="1" w:styleId="Heading1Char">
    <w:name w:val="Heading 1 Char"/>
    <w:basedOn w:val="DefaultParagraphFont"/>
    <w:link w:val="Heading1"/>
    <w:uiPriority w:val="9"/>
    <w:rsid w:val="007E716C"/>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7E716C"/>
    <w:rPr>
      <w:caps/>
      <w:spacing w:val="15"/>
      <w:shd w:val="clear" w:color="auto" w:fill="DAEFD3" w:themeFill="accent1" w:themeFillTint="33"/>
    </w:rPr>
  </w:style>
  <w:style w:type="character" w:customStyle="1" w:styleId="Heading3Char">
    <w:name w:val="Heading 3 Char"/>
    <w:basedOn w:val="DefaultParagraphFont"/>
    <w:link w:val="Heading3"/>
    <w:uiPriority w:val="9"/>
    <w:rsid w:val="007E716C"/>
    <w:rPr>
      <w:caps/>
      <w:color w:val="294E1C" w:themeColor="accent1" w:themeShade="7F"/>
      <w:spacing w:val="15"/>
    </w:rPr>
  </w:style>
  <w:style w:type="character" w:customStyle="1" w:styleId="Heading4Char">
    <w:name w:val="Heading 4 Char"/>
    <w:basedOn w:val="DefaultParagraphFont"/>
    <w:link w:val="Heading4"/>
    <w:uiPriority w:val="9"/>
    <w:semiHidden/>
    <w:rsid w:val="007E716C"/>
    <w:rPr>
      <w:caps/>
      <w:color w:val="3E762A" w:themeColor="accent1" w:themeShade="BF"/>
      <w:spacing w:val="10"/>
    </w:rPr>
  </w:style>
  <w:style w:type="character" w:customStyle="1" w:styleId="Heading5Char">
    <w:name w:val="Heading 5 Char"/>
    <w:basedOn w:val="DefaultParagraphFont"/>
    <w:link w:val="Heading5"/>
    <w:uiPriority w:val="9"/>
    <w:semiHidden/>
    <w:rsid w:val="007E716C"/>
    <w:rPr>
      <w:caps/>
      <w:color w:val="3E762A" w:themeColor="accent1" w:themeShade="BF"/>
      <w:spacing w:val="10"/>
    </w:rPr>
  </w:style>
  <w:style w:type="character" w:customStyle="1" w:styleId="Heading6Char">
    <w:name w:val="Heading 6 Char"/>
    <w:basedOn w:val="DefaultParagraphFont"/>
    <w:link w:val="Heading6"/>
    <w:uiPriority w:val="9"/>
    <w:semiHidden/>
    <w:rsid w:val="007E716C"/>
    <w:rPr>
      <w:caps/>
      <w:color w:val="3E762A" w:themeColor="accent1" w:themeShade="BF"/>
      <w:spacing w:val="10"/>
    </w:rPr>
  </w:style>
  <w:style w:type="character" w:customStyle="1" w:styleId="Heading7Char">
    <w:name w:val="Heading 7 Char"/>
    <w:basedOn w:val="DefaultParagraphFont"/>
    <w:link w:val="Heading7"/>
    <w:uiPriority w:val="9"/>
    <w:semiHidden/>
    <w:rsid w:val="007E716C"/>
    <w:rPr>
      <w:caps/>
      <w:color w:val="3E762A" w:themeColor="accent1" w:themeShade="BF"/>
      <w:spacing w:val="10"/>
    </w:rPr>
  </w:style>
  <w:style w:type="character" w:customStyle="1" w:styleId="Heading8Char">
    <w:name w:val="Heading 8 Char"/>
    <w:basedOn w:val="DefaultParagraphFont"/>
    <w:link w:val="Heading8"/>
    <w:uiPriority w:val="9"/>
    <w:semiHidden/>
    <w:rsid w:val="007E716C"/>
    <w:rPr>
      <w:caps/>
      <w:spacing w:val="10"/>
      <w:sz w:val="18"/>
      <w:szCs w:val="18"/>
    </w:rPr>
  </w:style>
  <w:style w:type="character" w:customStyle="1" w:styleId="Heading9Char">
    <w:name w:val="Heading 9 Char"/>
    <w:basedOn w:val="DefaultParagraphFont"/>
    <w:link w:val="Heading9"/>
    <w:uiPriority w:val="9"/>
    <w:semiHidden/>
    <w:rsid w:val="007E716C"/>
    <w:rPr>
      <w:i/>
      <w:iCs/>
      <w:caps/>
      <w:spacing w:val="10"/>
      <w:sz w:val="18"/>
      <w:szCs w:val="18"/>
    </w:rPr>
  </w:style>
  <w:style w:type="paragraph" w:styleId="Caption">
    <w:name w:val="caption"/>
    <w:basedOn w:val="Normal"/>
    <w:next w:val="Normal"/>
    <w:uiPriority w:val="35"/>
    <w:unhideWhenUsed/>
    <w:qFormat/>
    <w:rsid w:val="007E716C"/>
    <w:rPr>
      <w:b/>
      <w:bCs/>
      <w:color w:val="3E762A" w:themeColor="accent1" w:themeShade="BF"/>
      <w:sz w:val="16"/>
      <w:szCs w:val="16"/>
    </w:rPr>
  </w:style>
  <w:style w:type="character" w:styleId="Strong">
    <w:name w:val="Strong"/>
    <w:uiPriority w:val="22"/>
    <w:qFormat/>
    <w:rsid w:val="007E716C"/>
    <w:rPr>
      <w:b/>
      <w:bCs/>
    </w:rPr>
  </w:style>
  <w:style w:type="character" w:styleId="Emphasis">
    <w:name w:val="Emphasis"/>
    <w:uiPriority w:val="20"/>
    <w:qFormat/>
    <w:rsid w:val="007E716C"/>
    <w:rPr>
      <w:caps/>
      <w:color w:val="294E1C" w:themeColor="accent1" w:themeShade="7F"/>
      <w:spacing w:val="5"/>
    </w:rPr>
  </w:style>
  <w:style w:type="paragraph" w:styleId="NoSpacing">
    <w:name w:val="No Spacing"/>
    <w:link w:val="NoSpacingChar"/>
    <w:uiPriority w:val="1"/>
    <w:qFormat/>
    <w:rsid w:val="007E716C"/>
    <w:pPr>
      <w:spacing w:after="0" w:line="240" w:lineRule="auto"/>
    </w:pPr>
  </w:style>
  <w:style w:type="paragraph" w:styleId="Quote">
    <w:name w:val="Quote"/>
    <w:basedOn w:val="Normal"/>
    <w:next w:val="Normal"/>
    <w:link w:val="QuoteChar"/>
    <w:uiPriority w:val="29"/>
    <w:qFormat/>
    <w:rsid w:val="007E716C"/>
    <w:rPr>
      <w:i/>
      <w:iCs/>
      <w:sz w:val="24"/>
      <w:szCs w:val="24"/>
    </w:rPr>
  </w:style>
  <w:style w:type="character" w:customStyle="1" w:styleId="QuoteChar">
    <w:name w:val="Quote Char"/>
    <w:basedOn w:val="DefaultParagraphFont"/>
    <w:link w:val="Quote"/>
    <w:uiPriority w:val="29"/>
    <w:rsid w:val="007E716C"/>
    <w:rPr>
      <w:i/>
      <w:iCs/>
      <w:sz w:val="24"/>
      <w:szCs w:val="24"/>
    </w:rPr>
  </w:style>
  <w:style w:type="paragraph" w:styleId="IntenseQuote">
    <w:name w:val="Intense Quote"/>
    <w:basedOn w:val="Normal"/>
    <w:next w:val="Normal"/>
    <w:link w:val="IntenseQuoteChar"/>
    <w:uiPriority w:val="30"/>
    <w:qFormat/>
    <w:rsid w:val="007E716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7E716C"/>
    <w:rPr>
      <w:color w:val="549E39" w:themeColor="accent1"/>
      <w:sz w:val="24"/>
      <w:szCs w:val="24"/>
    </w:rPr>
  </w:style>
  <w:style w:type="character" w:styleId="SubtleEmphasis">
    <w:name w:val="Subtle Emphasis"/>
    <w:uiPriority w:val="19"/>
    <w:qFormat/>
    <w:rsid w:val="007E716C"/>
    <w:rPr>
      <w:i/>
      <w:iCs/>
      <w:color w:val="294E1C" w:themeColor="accent1" w:themeShade="7F"/>
    </w:rPr>
  </w:style>
  <w:style w:type="character" w:styleId="IntenseEmphasis">
    <w:name w:val="Intense Emphasis"/>
    <w:uiPriority w:val="21"/>
    <w:qFormat/>
    <w:rsid w:val="007E716C"/>
    <w:rPr>
      <w:b/>
      <w:bCs/>
      <w:caps/>
      <w:color w:val="294E1C" w:themeColor="accent1" w:themeShade="7F"/>
      <w:spacing w:val="10"/>
    </w:rPr>
  </w:style>
  <w:style w:type="character" w:styleId="SubtleReference">
    <w:name w:val="Subtle Reference"/>
    <w:uiPriority w:val="31"/>
    <w:qFormat/>
    <w:rsid w:val="007E716C"/>
    <w:rPr>
      <w:b/>
      <w:bCs/>
      <w:color w:val="549E39" w:themeColor="accent1"/>
    </w:rPr>
  </w:style>
  <w:style w:type="character" w:styleId="IntenseReference">
    <w:name w:val="Intense Reference"/>
    <w:uiPriority w:val="32"/>
    <w:qFormat/>
    <w:rsid w:val="007E716C"/>
    <w:rPr>
      <w:b/>
      <w:bCs/>
      <w:i/>
      <w:iCs/>
      <w:caps/>
      <w:color w:val="549E39" w:themeColor="accent1"/>
    </w:rPr>
  </w:style>
  <w:style w:type="character" w:styleId="BookTitle">
    <w:name w:val="Book Title"/>
    <w:uiPriority w:val="33"/>
    <w:qFormat/>
    <w:rsid w:val="007E716C"/>
    <w:rPr>
      <w:b/>
      <w:bCs/>
      <w:i/>
      <w:iCs/>
      <w:spacing w:val="0"/>
    </w:rPr>
  </w:style>
  <w:style w:type="paragraph" w:styleId="TOCHeading">
    <w:name w:val="TOC Heading"/>
    <w:basedOn w:val="Heading1"/>
    <w:next w:val="Normal"/>
    <w:uiPriority w:val="39"/>
    <w:semiHidden/>
    <w:unhideWhenUsed/>
    <w:qFormat/>
    <w:rsid w:val="007E716C"/>
    <w:pPr>
      <w:outlineLvl w:val="9"/>
    </w:pPr>
  </w:style>
  <w:style w:type="character" w:customStyle="1" w:styleId="NoSpacingChar">
    <w:name w:val="No Spacing Char"/>
    <w:basedOn w:val="DefaultParagraphFont"/>
    <w:link w:val="NoSpacing"/>
    <w:uiPriority w:val="1"/>
    <w:rsid w:val="007E716C"/>
  </w:style>
  <w:style w:type="paragraph" w:styleId="ListParagraph">
    <w:name w:val="List Paragraph"/>
    <w:basedOn w:val="Normal"/>
    <w:uiPriority w:val="34"/>
    <w:qFormat/>
    <w:rsid w:val="00BA11A9"/>
    <w:pPr>
      <w:ind w:left="720"/>
      <w:contextualSpacing/>
    </w:pPr>
  </w:style>
  <w:style w:type="table" w:styleId="TableGrid">
    <w:name w:val="Table Grid"/>
    <w:basedOn w:val="TableNormal"/>
    <w:uiPriority w:val="39"/>
    <w:rsid w:val="00D61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covers the use of Tyrannosaurus Plex. The program automatically migrates data output by ASPCs Keyence Comparators into PLEX SPC check sheets.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192E2-9B25-4E96-BAA9-6FE0079D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Tyrannosaurus Plex</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Tyrannosaurus Plex</dc:title>
  <dc:subject>KEYENCE / PLEX Transfer Utility</dc:subject>
  <dc:creator>Weston Forbes</dc:creator>
  <cp:keywords/>
  <dc:description/>
  <cp:lastModifiedBy>Weston Forbes</cp:lastModifiedBy>
  <cp:revision>6</cp:revision>
  <dcterms:created xsi:type="dcterms:W3CDTF">2020-11-24T16:24:00Z</dcterms:created>
  <dcterms:modified xsi:type="dcterms:W3CDTF">2020-11-24T20:48:00Z</dcterms:modified>
  <cp:category>This document covers program revision 2020-11-24-01</cp:category>
</cp:coreProperties>
</file>