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360"/>
        <w:jc w:val="center"/>
      </w:pPr>
      <w:r>
        <w:rPr>
          <w:rFonts w:ascii="Calibri" w:hAnsi="Calibri" w:eastAsia="Microsoft YaHei"/>
          <w:b/>
          <w:color w:val="2E74B5"/>
          <w:sz w:val="24"/>
        </w:rPr>
        <w:t>阶段性研究报告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A股多因子选股策略研究</w:t>
      </w:r>
    </w:p>
    <w:p>
      <w:pPr>
        <w:spacing w:after="1120"/>
        <w:jc w:val="center"/>
      </w:pPr>
      <w:r>
        <w:rPr>
          <w:rFonts w:ascii="Calibri" w:hAnsi="Calibri" w:eastAsia="Microsoft YaHei"/>
          <w:color w:val="1F4D78"/>
          <w:sz w:val="30"/>
        </w:rPr>
        <w:t>可审计研究框架的设计、实现与阶段性验证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汇报对象：</w:t>
      </w:r>
      <w:r>
        <w:rPr>
          <w:rFonts w:ascii="Calibri" w:hAnsi="Calibri" w:eastAsia="Microsoft YaHei"/>
          <w:color w:val="000000"/>
          <w:sz w:val="22"/>
        </w:rPr>
        <w:t>指导教师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汇报人：</w:t>
      </w:r>
      <w:r>
        <w:rPr>
          <w:rFonts w:ascii="Calibri" w:hAnsi="Calibri" w:eastAsia="Microsoft YaHei"/>
          <w:color w:val="000000"/>
          <w:sz w:val="22"/>
        </w:rPr>
        <w:t>________________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项目版本：</w:t>
      </w:r>
      <w:r>
        <w:rPr>
          <w:rFonts w:ascii="Calibri" w:hAnsi="Calibri" w:eastAsia="Microsoft YaHei"/>
          <w:color w:val="000000"/>
          <w:sz w:val="22"/>
        </w:rPr>
        <w:t>main @ 58b7521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报告日期：</w:t>
      </w:r>
      <w:r>
        <w:rPr>
          <w:rFonts w:ascii="Calibri" w:hAnsi="Calibri" w:eastAsia="Microsoft YaHei"/>
          <w:color w:val="000000"/>
          <w:sz w:val="22"/>
        </w:rPr>
        <w:t>2026-07-11</w:t>
      </w:r>
    </w:p>
    <w:p>
      <w:pPr>
        <w:spacing w:before="1080" w:after="0"/>
        <w:jc w:val="center"/>
        <w:shd w:fill="F2F4F7"/>
      </w:pPr>
      <w:r>
        <w:rPr>
          <w:rFonts w:ascii="Calibri" w:hAnsi="Calibri" w:eastAsia="Microsoft YaHei"/>
          <w:b/>
          <w:color w:val="9B1C1C"/>
          <w:sz w:val="20"/>
        </w:rPr>
        <w:t>研究性质：工程与方法验证。当前结果基于合成样例数据，不构成真实市场有效性或可交易性证明。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摘要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本项目面向A股多因子选股研究中常见的时间错配、数据泄漏、样本外污染和交易不可达问题，构建了一套从标准化数据接入、Point-in-Time（PIT）因子生成、滚动样本外验证，到受约束组合构建、事件驱动回测、绩效归因与LLM事件标签审计的可复现工程框架。当前版本已打通数据、因子、组合、执行、归因和报告链路，并通过完整质量门禁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阶段性验证全部使用项目内合成样例数据。标准pipeline的样例净收益为0.58%，最大回撤为-9.53%，Sharpe为0.080；这些数值仅证明指标计算与审计产物能够稳定生成，不能用于判断因子在真实市场中的有效性。当前最主要的研究缺口是尚未在完整历史PIT数据上形成有效的滚动样本外结果，同时部分长周期因子覆盖不足，成本归因比例字段仍需统一量纲。</w:t>
      </w:r>
    </w:p>
    <w:p>
      <w:pPr>
        <w:spacing w:before="120" w:after="200" w:line="264" w:lineRule="auto"/>
        <w:ind w:left="173" w:right="115"/>
        <w:shd w:fill="F4F7FA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核心结论  </w:t>
      </w:r>
      <w:r>
        <w:rPr>
          <w:rFonts w:ascii="Calibri" w:hAnsi="Calibri" w:eastAsia="Microsoft YaHei"/>
          <w:color w:val="000000"/>
          <w:sz w:val="22"/>
        </w:rPr>
        <w:t>项目已经完成“可信研究基础设施”的第一阶段建设；下一阶段的决定性任务不是继续扩展因子数量，而是接入可核验的真实PIT数据，并以样本外、执行延迟、成本和容量压力测试建立证据。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一、研究背景与问题定义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多因子选股的难点不只在于构造信号，还在于确认信号所用信息在当时是否可见、组合能否按假设成交、收益是否来自少数行业或市值暴露，以及结论是否经得住样本外和成本扰动。若忽略这些环节，回测结果即使表现优异，也可能由未来函数、幸存者偏差、基准错配或费用缺失造成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本研究因此将问题定义为：在明确A股交易规则与数据时点的前提下，建立一套能够复现、审计和扩展的多因子研究流程，并将“因子统计有效性”“组合回测表现”和“真实可执行性”分层评价。当前研究对象为中证500风格股票池，配置基准为000905.SH，默认月末调仓，因子在信号日收盘后生成，下一交易日开盘尝试执行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二、研究设计与技术路线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2.1 时间线与防泄漏约束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环节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当前定义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审计重点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信号生成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T日收盘后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仅使用T日及之前可见数据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财务数据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usable_date到达后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保留报告期、公告日、可用日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交易执行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T+1交易日开盘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停牌、涨跌停、手数和参与率约束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目标收益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未来20个交易日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仅用于评价，不回填信号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样本外验证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训练/验证/测试滚动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方向和权重在测试窗口前锁定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该时间线将数据时间、信号时间、订单时间、成交时间和收益归因窗口拆开。全样本IC只作为诊断展示，不用于同期组合权重；真实模式在缺少数据manifest、关键PIT表或可用样本外评分时执行阻断。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2.2 因子体系与截面处理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当前因子覆盖量价、风险、估值、质量、成长、资金流和事件信息，共31个配置项。处理流程在每个交易日横截面内依次执行MAD去极值、z-score标准化，并按配置进行行业和市值中性化。因子定义、输入字段、方向、窗口与PIT要求均形成结构化规格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类别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代表因子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主要风险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量价/风险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动量、反转、波动率、Beta、流动性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窗口不足、停牌与复权口径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估值/基本面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BP、EP、SP、CFP、规模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负值处理、公告时点和修订值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质量/成长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ROE、ROA、毛利率、收入与利润增长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财务可用日和行业暴露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资金流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5/20日资金流与大单资金流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数据源稳定性和零成交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事件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20日事件情绪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发布时间、去重、标签一致性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2.3 组合、执行与归因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默认组合目标为Top50，单票上限5%，最少持仓30只，单行业上限30%，最大现金10%，单次换手上限50%。事件驱动回测保留订单、成交、持仓和未成交原因，并拆分佣金、印花税、滑点与冲击成本。绩效模块同时计算绝对收益、相对基准表现、回撤、行业/市值/个股贡献和成本拖累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三、阶段性实现成果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460"/>
        <w:gridCol w:w="330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模块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已实现能力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可复核产物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数据工程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12张标准表、导入映射、主键与跨表质量检查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manifest与质量报告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PIT控制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信号/执行/目标日期分离，财务可用日追踪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timing审计表与测试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因子研究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覆盖率、IC、分组、衰减、相关性与中性化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CSV与同源图表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组合回测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约束组合、T+1执行、订单/成交/持仓审计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orders、fills、positions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稳健性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成本、延迟与成交额参与率情景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scenario与未成交分析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绩效归因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绝对/相对指标、行业/市值/回撤/成本归因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metrics与归因表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LLM事件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离线标签、版本、缓存、抽查门槛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标签与审计报告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工程质量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编译、单测、CLI和Notebook smoke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统一质量门禁</w:t>
            </w:r>
          </w:p>
        </w:tc>
      </w:tr>
    </w:tbl>
    <w:p>
      <w:pPr>
        <w:spacing w:before="0" w:after="80"/>
      </w:pPr>
    </w:p>
    <w:p>
      <w:pPr>
        <w:spacing w:before="120" w:after="200" w:line="264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质量验证  </w:t>
      </w:r>
      <w:r>
        <w:rPr>
          <w:rFonts w:ascii="Calibri" w:hAnsi="Calibri" w:eastAsia="Microsoft YaHei"/>
          <w:color w:val="000000"/>
          <w:sz w:val="22"/>
        </w:rPr>
        <w:t>2026-07-11在main@58b7521上完成复核：46个单元测试通过；7个Notebook smoke通过；CLI样例生成和标准pipeline smoke通过。该结论仅针对代码与合成样例链路。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四、样例结果与审慎解释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4.1 标准pipeline绩效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指标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样例结果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解释边界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累计净收益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0.58%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合成样例，仅验证计算链路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年化收益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0.81%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180个交易日样本，年化敏感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年化波动率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10.14%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基于252交易日年化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Sharpe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0.080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不支持策略有效性结论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最大回撤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-9.53%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样例路径风险展示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成本拖累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0.14%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标准成本情景，非真实成交校准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平均实际持仓数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14.2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低于30只目标，需审计成交与资金约束</w:t>
            </w:r>
          </w:p>
        </w:tc>
      </w:tr>
    </w:tbl>
    <w:p>
      <w:pPr>
        <w:spacing w:before="0" w:after="8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retu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图1  标准pipeline合成样例累计净值。前段持平来自组合尚未形成或未执行，不应解释为低风险。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图2  标准pipeline合成样例回撤。该图用于验证回撤计算与区间识别，不代表真实市场风险水平。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4.2 因子诊断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合成样例中，20日窗口的资金流、ROE、规模、ROA和收入增长等因子呈现较高Rank IC；例如mf_20的平均Rank IC为0.182，ROE为0.153，turnover_chg_20为-0.171。由于样例数据由规则生成，这些结果可能反映生成机制本身，不能外推到真实A股。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覆盖率审计显示，mom_60_skip5与mom_120在当前因子面板中无有效覆盖，idio_vol_60覆盖率仅约3.3%。因此长窗口因子尚不具备有效比较基础。当前walk-forward输出中的样本外IC与权重表为空，说明样例历史长度不足以形成正式滚动样本外证据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se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图3  合成样例综合score的Rank IC序列（n=40）。序列波动与尾段转弱提示不能只看均值。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4.3 执行与成本审计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标准pipeline记录了68笔因手数约束未成交的订单，请求金额合计约12.07万元；平均实际持仓数14.2只，低于配置中的最少持仓30只。这表明“目标组合满足约束”不等于“成交后持仓仍满足约束”，后续应增加成交后约束复核、资金规模敏感性和未成交后的再平衡机制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当前performance_metrics.csv中的成本拖累已按净值口径归一化；但cost_attribution.csv的total_cost为货币金额，cost_to_gross_return却直接除以收益率，存在量纲不一致，暂不宜解读该比例字段。该问题应在下一版统一为“成本/期初资产”或“成本收益拖累”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五、可信度审计与研究边界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4560"/>
        <w:gridCol w:w="1800"/>
      </w:tblGrid>
      <w:tr>
        <w:trPr>
          <w:tblHeader w:val="true"/>
        </w:trP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结论或主张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当前证据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判定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工程链路可复现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单测、Notebook、CLI与pipeline门禁均通过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已支持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时间语义已显式化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信号/执行/目标日期与财务可用日可审计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已支持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因子在真实A股有效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仅有合成样例IC和分组结果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未支持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策略具有样本外稳定性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正式OOS IC与权重输出为空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未支持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组合可按假设成交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有订单审计，但缺真实盘口与冲击校准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部分支持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LLM事件因子可入组合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reviewed_count=0，尚无人审通过率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未支持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绩效归因口径完全一致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主体指标可用，成本比例字段量纲待修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部分支持</w:t>
            </w:r>
          </w:p>
        </w:tc>
      </w:tr>
    </w:tbl>
    <w:p>
      <w:pPr>
        <w:spacing w:before="0" w:after="80"/>
      </w:pPr>
    </w:p>
    <w:p>
      <w:pPr>
        <w:spacing w:before="120" w:after="200" w:line="264" w:lineRule="auto"/>
        <w:ind w:left="173" w:right="115"/>
        <w:shd w:fill="FFF6E5"/>
        <w:pBdr>
          <w:left w:val="single" w:sz="18" w:space="6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 xml:space="preserve">最重要的剩余风险  </w:t>
      </w:r>
      <w:r>
        <w:rPr>
          <w:rFonts w:ascii="Calibri" w:hAnsi="Calibri" w:eastAsia="Microsoft YaHei"/>
          <w:color w:val="000000"/>
          <w:sz w:val="22"/>
        </w:rPr>
        <w:t>历史指数成分、退市、新股、ST、停复牌、涨跌停、财务修订和事件文本尚未由可靠的真实PIT数据覆盖。在这些数据通过质量阻断和时间一致性审计之前，不应把样例结果表述为投资结论。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六、下一阶段研究计划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阶段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工作重点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验收标准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阶段A：真实数据闭环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接入中证500历史成分、复权行情、财务可用日与交易状态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manifest完整；阻断问题为0；覆盖率按年稳定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阶段B：样本外证据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形成滚动训练/验证/测试，锁定方向和权重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OOS IC非空；分年度/市场状态稳定；无跨窗泄漏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阶段C：执行压力测试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成本、延迟、参与率、资金规模与未成交再平衡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净收益对成本和延迟不过度敏感；成交后约束合格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阶段D：论文式总结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完成基准、消融、稳健性和限制讨论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每项主张有对应表图与可复现run目录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建议优先完成阶段A和阶段B，再决定是否扩展因子库或引入复杂优化器。若在真实PIT数据上不能得到稳定的样本外Rank IC、分组单调性和可承受的换手成本，应保留框架但重新评估信号，而不是通过反复调参追求更好的历史曲线。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七、结论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本项目已完成一套面向A股多因子研究的可审计工程框架，并把数据版本、PIT时点、因子处理、样本外流程、组合约束、订单成交、交易成本、风险归因和LLM标签审计纳入统一链路。完整质量门禁表明代码与合成样例流程可稳定复现。但当前证据仍停留在工程和方法验证阶段，尚不足以证明真实市场有效性、样本外稳定性或可交易性。下一阶段应以真实PIT数据和严格样本外研究为主线，形成可由导师逐项复核的结论—证据—边界闭环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附录：复现入口与主要产物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用途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入口或产物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完整质量门禁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python -m ashare_factor_research.main quality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样例pipeline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python -m ashare_factor_research.main run-pipeline --mode sample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研究Notebook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notebooks/01_data_collection.ipynb 至 07_llm_event_analysis.ipynb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标准报告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reports/factor_research_report.md 与 PDF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图表与底表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reports/figures/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实现状态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reports/implementation_status.md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9B1C1C"/>
          <w:sz w:val="22"/>
        </w:rPr>
        <w:t>说明：Notebook 05使用Top10、单票上限20%的演示参数，标准pipeline使用Top50、单票上限5%。两者用于不同的smoke场景，导师审阅时应以标准pipeline及其配置快照为统一口径。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6666"/>
        <w:sz w:val="18"/>
      </w:rPr>
      <w:t>A股多因子选股策略研究｜阶段性研究报告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A股多因子选股策略研究：可审计研究框架的设计、实现与阶段性验证</dc:title>
  <dc:subject>导师阶段性研究汇报</dc:subject>
  <dc:creator/>
  <cp:keywords>A股, 多因子, PIT, 样本外, 回测, 绩效归因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