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인공 감미료가 장내 미생물 모델에 미치는 영향: 실험적 탐구와 내성 분석을 위한 실용 가이드</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제 1부: 과학적 배경: 연구 시스템의 이해</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연구를 지적으로 엄밀하게 수행하기 위해서는 실험에 사용될 유기체와 화합물의 특성을 깊이 이해하고, 현재 진행 중인 과학적 논쟁의 맥락 속에서 연구의 위치를 파악하는 것이 필수적입니다. 이 장에서는 연구의 핵심 요소인 대장균과 유산균, 그리고 인공 감미료인 사카린과 아세설팜 칼륨에 대해 심층적으로 탐구하며, 주어진 실험 환경의 한계를 과학적 탐구의 기회로 전환하는 방법을 모색합니다.</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연구 대상: 모델 미생물</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본 연구에서는 장내 미생물 군집을 대표하는 두 가지 핵심 모델 미생물, 즉 대장균(</w:t>
      </w:r>
      <w:r w:rsidDel="00000000" w:rsidR="00000000" w:rsidRPr="00000000">
        <w:rPr>
          <w:rFonts w:ascii="Google Sans Text" w:cs="Google Sans Text" w:eastAsia="Google Sans Text" w:hAnsi="Google Sans Text"/>
          <w:i w:val="1"/>
          <w:color w:val="1b1c1d"/>
          <w:sz w:val="24"/>
          <w:szCs w:val="24"/>
          <w:rtl w:val="0"/>
        </w:rPr>
        <w:t xml:space="preserve">Escherichia coli</w:t>
      </w:r>
      <w:r w:rsidDel="00000000" w:rsidR="00000000" w:rsidRPr="00000000">
        <w:rPr>
          <w:rFonts w:ascii="Google Sans Text" w:cs="Google Sans Text" w:eastAsia="Google Sans Text" w:hAnsi="Google Sans Text"/>
          <w:i w:val="0"/>
          <w:color w:val="1b1c1d"/>
          <w:sz w:val="24"/>
          <w:szCs w:val="24"/>
          <w:rtl w:val="0"/>
        </w:rPr>
        <w:t xml:space="preserve">)과 유산균(</w:t>
      </w:r>
      <w:r w:rsidDel="00000000" w:rsidR="00000000" w:rsidRPr="00000000">
        <w:rPr>
          <w:rFonts w:ascii="Google Sans Text" w:cs="Google Sans Text" w:eastAsia="Google Sans Text" w:hAnsi="Google Sans Text"/>
          <w:i w:val="1"/>
          <w:color w:val="1b1c1d"/>
          <w:sz w:val="24"/>
          <w:szCs w:val="24"/>
          <w:rtl w:val="0"/>
        </w:rPr>
        <w:t xml:space="preserve">Lactobacillus</w:t>
      </w:r>
      <w:r w:rsidDel="00000000" w:rsidR="00000000" w:rsidRPr="00000000">
        <w:rPr>
          <w:rFonts w:ascii="Google Sans Text" w:cs="Google Sans Text" w:eastAsia="Google Sans Text" w:hAnsi="Google Sans Text"/>
          <w:i w:val="0"/>
          <w:color w:val="1b1c1d"/>
          <w:sz w:val="24"/>
          <w:szCs w:val="24"/>
          <w:rtl w:val="0"/>
        </w:rPr>
        <w:t xml:space="preserve">)을 사용합니다. 이들은 단순한 실험 재료를 넘어, 각각 그람 음성균과 그람 양성균을 대표하며 장내 생태계에서 중요한 역할을 수행하는 미생물입니다.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1.1.1. 대장균(Escherichia coli)과 유산균(Lactobacillus) 소개</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대장균은 장내 상재균 중 가장 연구가 많이 된 그람 음성균으로, 일부 균주는 병원성을 띠지만 대부분은 인체와 공생 관계를 유지합니다. 실험실 환경에서 배양이 용이하고 유전적 조작이 쉬워 분자생물학 연구의 표준 모델로 널리 사용됩니다.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반면, 유산균은 대표적인 프로바이오틱스(probiotics)로 알려진 그람 양성균입니다. 이들은 젖산을 생성하여 장내 환경을 산성으로 유지함으로써 유해균의 증식을 억제하고, 소화 및 면역 기능에 긍정적인 영향을 미치는 것으로 알려져 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이 두 균주를 함께 연구함으로써 인공 감미료가 서로 다른 세포벽 구조와 대사 특성을 가진 박테리아에 어떻게 다르게 영향을 미치는지 비교 분석할 수 있는 기회를 가질 수 있습니다.</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1.1.2. 최적 성장 조건과 실험실의 현실</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문헌에 따르면 대장균과 대부분의 유산균 종은 인간의 체온과 유사한 37°C에서 최적의 성장 속도를 보입니다.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하지만 본 연구가 수행될 실험실의 배양기는 40°C로 온도가 고정되어 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이 조건은 두 균주 모두에게 최적 성장 온도를 약간 벗어나는 환경입니다.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40°C라는 온도는 단순히 기술적 한계가 아니라, 연구 설계에서 반드시 고려해야 할 중요한 **교란 변수(confounding variable)**로 작용합니다. 이 온도는 미생물에게 지속적인 저준위 열 스트레스(thermal stress)를 가하는 조건이 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따라서 실험에 참여하는 박테리아는 인공 감미료로 인한 화학적 스트레스(chemical stress)와 최적 온도를 벗어난 열 스트레스라는 두 가지 스트레스에 동시에 노출됩니다. 이는 실험 시스템을 더욱 복잡하게 만들지만, 한편으로는 더 흥미로운 해석의 가능성을 열어줍니다. 관찰되는 모든 성장 변화나 내성 획득은 감미료 단독의 효과, 열 스트레스 단독의 효과, 혹은 두 스트레스 간의</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상승적(synergistic) 또는 길항적(antagonistic) 상호작용</w:t>
      </w:r>
      <w:r w:rsidDel="00000000" w:rsidR="00000000" w:rsidRPr="00000000">
        <w:rPr>
          <w:rFonts w:ascii="Google Sans Text" w:cs="Google Sans Text" w:eastAsia="Google Sans Text" w:hAnsi="Google Sans Text"/>
          <w:i w:val="0"/>
          <w:color w:val="1b1c1d"/>
          <w:sz w:val="24"/>
          <w:szCs w:val="24"/>
          <w:rtl w:val="0"/>
        </w:rPr>
        <w:t xml:space="preserve">의 결과일 수 있습니다. 최종 보고서의 '고찰' 부분에서는 이러한 복합적인 스트레스 요인이 결과에 미쳤을 잠재적 영향을 반드시 심도 있게 논의해야 합니다. 이처럼, 실험의 잠재적 약점을 정교한 과학적 논의의 출발점으로 전환할 수 있습니다.</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변화의 동인: 사카린과 아세설팜 칼륨(Ace-K)</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본 연구에서 사용할 인공 감미료는 사카린과 아세설팜 칼륨(Ace-K)입니다. 이들은 칼로리가 없어 체중 조절 식품에 널리 사용되지만, 장내 미생물에 미치는 영향에 대해서는 상반된 연구 결과들이 존재합니다.</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1.2.1. 화학적 특성과 일일 섭취 허용량(ADI)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사카린과 아세설팜 칼륨은 설탕보다 수백 배 강한 단맛을 내는 합성 화합물입니다. 이들의 안전성은 일일 섭취 허용량(Acceptable Daily Intake, ADI)이라는 개념을 통해 관리됩니다. ADI는 사람이 평생 동안 매일 섭취해도 건강에 유해한 영향이 나타나지 않을 것으로 예상되는 양을 의미하며, 체중 1 kg당 밀리그램(mg/kg)으로 표시됩니다.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미국 식품의약국(FDA)과 유럽 식품안전청(EFSA) 등 규제 기관들은 광범위한 독성 연구를 바탕으로 각 감미료의 ADI를 설정했습니다. 예를 들어, 사카린의 ADI는 약 5-15 mg/kg, 아세설팜 칼륨의 ADI는 약 15 mg/kg으로 설정되어 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1.2.2. 항균 효과에 대한 논쟁</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인공 감미료가 장내 미생물에 미치는 영향은 과학계의 뜨거운 감자입니다. 일부 연구는 고농도의 사카린이 대장균의 성장을 억제할 수 있음을 보여주었습니다.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반면, 다른 연구에서는 특정 감미료가 오히려 박테리아의 성장을 촉진하거나 저농도에서는 별다른 영향을 미치지 않는다고 보고하기도 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아세설팜 칼륨의 경우, 병원균의 성장을 억제할 수 있다는 보고와 함께, 쥐 실험에서 성별에 따라 장내 미생물에 미치는 영향이 다르며 특히 암컷 쥐에서 유산균을 감소시켰다는 결과도 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하지만 또 다른 연구에서는 아세설팜 칼륨이 특정 유산균(</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Lactobacillus plantarum</w:t>
      </w:r>
      <w:r w:rsidDel="00000000" w:rsidR="00000000" w:rsidRPr="00000000">
        <w:rPr>
          <w:rFonts w:ascii="Google Sans Text" w:cs="Google Sans Text" w:eastAsia="Google Sans Text" w:hAnsi="Google Sans Text"/>
          <w:i w:val="0"/>
          <w:color w:val="1b1c1d"/>
          <w:sz w:val="24"/>
          <w:szCs w:val="24"/>
          <w:rtl w:val="0"/>
        </w:rPr>
        <w:t xml:space="preserve">)의 성장률을 증가시켰다고 보고하여, 그 효과가 균주와 조건에 따라 매우 다르게 나타날 수 있음을 시사합니다.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1.2.3. 작용 기전: '왜'에 대한 심층 탐구</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이러한 상반된 결과를 이해하고 PCR 실험 가설을 세우기 위해서는 감미료의 작용 기전을 이해하는 것이 결정적입니다.</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사카린의 작용 기전:</w:t>
      </w:r>
      <w:r w:rsidDel="00000000" w:rsidR="00000000" w:rsidRPr="00000000">
        <w:rPr>
          <w:rFonts w:ascii="Google Sans Text" w:cs="Google Sans Text" w:eastAsia="Google Sans Text" w:hAnsi="Google Sans Text"/>
          <w:i w:val="0"/>
          <w:color w:val="1b1c1d"/>
          <w:sz w:val="24"/>
          <w:szCs w:val="24"/>
          <w:rtl w:val="0"/>
        </w:rPr>
        <w:t xml:space="preserve"> 최신 연구들은 사카린이 단순히 수동적인 물질이 아님을 밝혀냈습니다. 사카린은 박테리아의 세포 외피(cell envelope)를 파괴하고, 세포가 길어지는 필라멘트화(filamentation)를 유도하며, DNA 복제 동역학을 방해하여 궁극적으로 세포 용해(lysis)를 유발할 수 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이는 사카린에 대한 '내성'을 탐구할 때 어떤 유전자를 주목해야 하는지에 대한 직접적인 단서를 제공합니다.</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아세설팜 칼륨의 작용 기전:</w:t>
      </w:r>
      <w:r w:rsidDel="00000000" w:rsidR="00000000" w:rsidRPr="00000000">
        <w:rPr>
          <w:rFonts w:ascii="Google Sans Text" w:cs="Google Sans Text" w:eastAsia="Google Sans Text" w:hAnsi="Google Sans Text"/>
          <w:i w:val="0"/>
          <w:color w:val="1b1c1d"/>
          <w:sz w:val="24"/>
          <w:szCs w:val="24"/>
          <w:rtl w:val="0"/>
        </w:rPr>
        <w:t xml:space="preserve"> 아세설팜 칼륨 역시 박테리아의 세포막을 약화시켜 세포 중앙이 부풀어 오르며 용해되는 현상(bulge-mediated cell lysis)을 유발하며, 다른 항생제의 효과를 증강시키는 역할도 할 수 있음이 보고되었습니다.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본 연구에서의 '내성' 정의: 저항성(Resistance) vs. 내성(Tolerance)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연구에서 사용하는 용어를 명확히 하는 것은 과학적 엄밀성의 기본입니다. 학생의 연구 계획서에서는 '내성 획득'이라는 표현을 사용했지만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본 연구에서 관찰될 가능성이 높은 현상은 고전적인 항생제 **저항성(resistance)**보다는 **내성(tolerance)**에 가깝습니다.</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용어의 명확화:</w:t>
      </w:r>
      <w:r w:rsidDel="00000000" w:rsidR="00000000" w:rsidRPr="00000000">
        <w:rPr>
          <w:rFonts w:ascii="Google Sans Text" w:cs="Google Sans Text" w:eastAsia="Google Sans Text" w:hAnsi="Google Sans Text"/>
          <w:i w:val="0"/>
          <w:color w:val="1b1c1d"/>
          <w:sz w:val="24"/>
          <w:szCs w:val="24"/>
          <w:rtl w:val="0"/>
        </w:rPr>
        <w:t xml:space="preserve"> 고전적인 의미의 '저항성'은 특정 항생제를 분해하거나 세포 밖으로 배출하는 유전자(예: 베타-락타메이즈 유전자)를 획득하여 항생제의 공격을 무력화하는 것을 의미합니다. 반면, '내성'은 스트레스 요인에 일시적으로 노출되었을 때, 유전자의 발현 조절과 같은 생리적 적응을 통해 생존하는 능력을 의미합니다.</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본 연구의 현상 재정의:</w:t>
      </w:r>
      <w:r w:rsidDel="00000000" w:rsidR="00000000" w:rsidRPr="00000000">
        <w:rPr>
          <w:rFonts w:ascii="Google Sans Text" w:cs="Google Sans Text" w:eastAsia="Google Sans Text" w:hAnsi="Google Sans Text"/>
          <w:i w:val="0"/>
          <w:color w:val="1b1c1d"/>
          <w:sz w:val="24"/>
          <w:szCs w:val="24"/>
          <w:rtl w:val="0"/>
        </w:rPr>
        <w:t xml:space="preserve"> 사카린과 아세설팜 칼륨은 세포 외피와 DNA에 직접적인 손상을 입히는 방식으로 작용합니다.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이러한 손상에 대한 박테리아의 반응은 특정 저항성 유전자 하나를 획득하는 것이 아니라, DNA 복구 경로, 세포벽 합성 경로 등 수많은 유전자의 발현을 조절하는 복잡한 스트레스 반응일 가능성이 높습니다. 따라서 이 연구의 목표는 새로운 '저항성 유전자'를 찾는 것이 아니라, 만성적인 감미료 스트레스에 반응하여</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발현량이 변하는 유전자들</w:t>
      </w:r>
      <w:r w:rsidDel="00000000" w:rsidR="00000000" w:rsidRPr="00000000">
        <w:rPr>
          <w:rFonts w:ascii="Google Sans Text" w:cs="Google Sans Text" w:eastAsia="Google Sans Text" w:hAnsi="Google Sans Text"/>
          <w:i w:val="0"/>
          <w:color w:val="1b1c1d"/>
          <w:sz w:val="24"/>
          <w:szCs w:val="24"/>
          <w:rtl w:val="0"/>
        </w:rPr>
        <w:t xml:space="preserve">을 규명하는 것이 되어야 합니다. 이는 학생이 가진 "내성을 갖게 된 정확한 유전자 원인을 분석해보고 싶다"는 목표를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더욱 정교하게 만드는 접근법입니다. 최종 보고서에서는 이러한 구분을 명확히 하고, 관찰된 현상을 '획득된 내성(acquired tolerance)'으로 기술하는 것이 더 정확합니다. 이 관점의 전환은 PCR 실험 설계를 '새로운 유전자의 탐색'에서 '기존 유전자의 발현량 정량 분석(qPCR)'으로 바꾸는 중요한 근거가 되며, 이는 훨씬 더 정교하고 실현 가능한 목표입니다.</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제 2부: 제약 조건 하에서의 강건한 실험 설계</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장에서는 실험실의 제약 조건을 의도적이고 논의 가능한 연구 설계 요소로 전환하여, 과학적으로 타당하고 강건한 실험 계획을 수립하는 청사진을 제공합니다.</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실험 설계의 청사진: 실험군 구성</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결과를 명확하게 비교 분석하기 위해, 대장균과 유산균 각각에 대해 다음과 같이 체계적인 실험군을 설정합니다.</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음성 대조군 (Negative Control):</w:t>
      </w:r>
      <w:r w:rsidDel="00000000" w:rsidR="00000000" w:rsidRPr="00000000">
        <w:rPr>
          <w:rFonts w:ascii="Google Sans Text" w:cs="Google Sans Text" w:eastAsia="Google Sans Text" w:hAnsi="Google Sans Text"/>
          <w:i w:val="0"/>
          <w:color w:val="1b1c1d"/>
          <w:sz w:val="24"/>
          <w:szCs w:val="24"/>
          <w:rtl w:val="0"/>
        </w:rPr>
        <w:t xml:space="preserve"> 박테리아 + 배지 (첨가물 없음). 이는 박테리아의 정상적인 성장 패턴을 확인하는 기준선이 됩니다.</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사카린 처리군 (Saccharin Treatment Group):</w:t>
      </w:r>
      <w:r w:rsidDel="00000000" w:rsidR="00000000" w:rsidRPr="00000000">
        <w:rPr>
          <w:rFonts w:ascii="Google Sans Text" w:cs="Google Sans Text" w:eastAsia="Google Sans Text" w:hAnsi="Google Sans Text"/>
          <w:i w:val="0"/>
          <w:color w:val="1b1c1d"/>
          <w:sz w:val="24"/>
          <w:szCs w:val="24"/>
          <w:rtl w:val="0"/>
        </w:rPr>
        <w:t xml:space="preserve"> 박테리아 + 배지 + 사카린. 하나 또는 그 이상의 농도로 설정하여 농도 의존적 효과를 관찰합니다.</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아세설팜 칼륨 처리군 (Ace-K Treatment Group):</w:t>
      </w:r>
      <w:r w:rsidDel="00000000" w:rsidR="00000000" w:rsidRPr="00000000">
        <w:rPr>
          <w:rFonts w:ascii="Google Sans Text" w:cs="Google Sans Text" w:eastAsia="Google Sans Text" w:hAnsi="Google Sans Text"/>
          <w:i w:val="0"/>
          <w:color w:val="1b1c1d"/>
          <w:sz w:val="24"/>
          <w:szCs w:val="24"/>
          <w:rtl w:val="0"/>
        </w:rPr>
        <w:t xml:space="preserve"> 박테리아 + 배지 + 아세설팜 칼륨. 사카린과 마찬가지로 농도별로 구성합니다.</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(선택) 양성 억제 대조군 (Positive Inhibition Control):</w:t>
      </w:r>
      <w:r w:rsidDel="00000000" w:rsidR="00000000" w:rsidRPr="00000000">
        <w:rPr>
          <w:rFonts w:ascii="Google Sans Text" w:cs="Google Sans Text" w:eastAsia="Google Sans Text" w:hAnsi="Google Sans Text"/>
          <w:i w:val="0"/>
          <w:color w:val="1b1c1d"/>
          <w:sz w:val="24"/>
          <w:szCs w:val="24"/>
          <w:rtl w:val="0"/>
        </w:rPr>
        <w:t xml:space="preserve"> 박테리아 + 배지 + 알려진 항생제 (예: 대장균의 경우 암피실린). 이 그룹은 계대 배양을 위한 것이 아니라, 분광광도계에서 완전한 성장 억제가 어떻게 나타나는지를 보여주는 명확한 비교 기준을 제공합니다.</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실험 농도 계산: ADI에서 몰 농도까지</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실험실 환경에서 감미료의 농도를 설정할 때, 인체 기준인 ADI를 직접 사용하는 것은 비현실적입니다. 대신, 선행 연구에서 효과가 입증된 농도를 참고하고 기본적인 화학 계산을 통해 실험에 적합한 몰 농도(Molarity)를 결정해야 합니다. 이는 연구의 재현성과 과학적 타당성을 높이는 핵심 과정입니다.</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선행 연구에서는 1000 µM (1 mM) 농도의 사카린이 대장균 성장에 영향을 미쳤다고 보고했습니다.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이는 실험 농도를 설정하는 데 중요한 문헌적 근거를 제공합니다. 이 농도를 기준으로, 농도에 따른 반응(dose-response)을 확인하기 위해 더 낮은 농도(예: 50 µM, 200 µM)를 추가로 설정하는 것이 바람직합니다.</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감미료 원액(stock solution)을 제조하고 이를 배지에 첨가하여 최종 농도를 맞추는 과정은 다음과 같이 계산할 수 있습니다. 예를 들어, 사카린 나트륨(Sodium Saccharin)의 분자량은 약 205.17 g/mol입니다. 100 mM 농도의 원액 100 mL를 만들려면, 2.0517 g의 사카린 나트륨을 증류수(dH₂O) 100 mL에 녹이면 됩니다. 이렇게 만든 100 mM 원액을 사용하여 배지 10 mL에 최종 농도 1 mM(1000 µM)을 만들려면, 원액 100 µL를 배지 9.9 mL에 첨가하면 됩니다 (총 부피 10 mL). 이러한 명시적인 계산과 근거는 최종 보고서에서 실험 농도 선택의 타당성을 방어하는 데 필수적입니다.</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다음 표는 실험에 필요한 원액 및 최종 농도를 손쉽게 준비할 수 있도록 구체적인 제조법을 정리한 것입니다.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표 2.2.1: 감미료 원액 및 최종 농도 제조법</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감미료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분자량 (g/mol)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100 mM 원액 제조법 (100 mL 기준)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배지 10 mL에 첨가할 원액 부피 (µL)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최종 농도: 50 µM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사카린 나트륨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~205.17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2.052 g을 dH₂O 100 mL에 용해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아세설팜 칼륨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2.012 g을 dH₂O 100 mL에 용해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1"/>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참고: 모든 원액은 0.22 µm 필터를 이용하여 제균(filter sterilization)한 후 사용해야 합니다.</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sz w:val="24"/>
          <w:szCs w:val="24"/>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실험실 제약 조건의 전략적 활용</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실험실의 제약 조건은 연구를 방해하는 장애물이 아니라, 연구 설계의 독창성을 부여하는 기회가 될 수 있습니다.</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주말 문제 해결: 간헐적 노출 프로토콜:</w:t>
      </w:r>
      <w:r w:rsidDel="00000000" w:rsidR="00000000" w:rsidRPr="00000000">
        <w:rPr>
          <w:rFonts w:ascii="Google Sans Text" w:cs="Google Sans Text" w:eastAsia="Google Sans Text" w:hAnsi="Google Sans Text"/>
          <w:i w:val="0"/>
          <w:color w:val="1b1c1d"/>
          <w:sz w:val="24"/>
          <w:szCs w:val="24"/>
          <w:rtl w:val="0"/>
        </w:rPr>
        <w:t xml:space="preserve"> 주말 동안 실험실 접근이 불가능한 상황은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"실패한 연속 배양"이 아니라, "간헐적 노출(intermittent exposure) 프로토콜"로 재정의할 수 있습니다. 이는 매일 꾸준히 감미료를 섭취하는 것이 아니라, 며칠은 섭취하고 며칠은 쉬는 실제 사람들의 소비 패턴을 더 현실적으로 모방하는 모델이 될 수 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최종 보고서에서는 이러한 간헐적 스트레스가 지속적인 스트레스와는 다른 종류의 적응 메커니즘을 유도했을 가능성을 제기하며, 이를 연구의 독창적인 측면으로 부각시킬 수 있습니다.</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40°C 배양기: 복합 스트레스 모델:</w:t>
      </w:r>
      <w:r w:rsidDel="00000000" w:rsidR="00000000" w:rsidRPr="00000000">
        <w:rPr>
          <w:rFonts w:ascii="Google Sans Text" w:cs="Google Sans Text" w:eastAsia="Google Sans Text" w:hAnsi="Google Sans Text"/>
          <w:i w:val="0"/>
          <w:color w:val="1b1c1d"/>
          <w:sz w:val="24"/>
          <w:szCs w:val="24"/>
          <w:rtl w:val="0"/>
        </w:rPr>
        <w:t xml:space="preserve"> 1장에서 논의했듯이, 40°C의 배양 온도는 열 스트레스 요인으로 작용합니다. 따라서 방법(Methods) 섹션에 다음과 같이 명시해야 합니다: "모든 배양은 40°C로 유지되는 [배양기 브랜드/모델명]에서 수행하였다. 이 조건은 선택된 균주들의 최적 성장 온도를 상회하는 것으로 알려져 있으며, 열 스트레스와 화학적 스트레스의 복합적 효과를 탐구하기 위해 설정되었다." 이는 실험 조건의 한계를 투명하게 밝히고, 이를 연구의 핵심 질문과 연결하는 과학적인 접근 방식입니다.</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제 3부: 실험실 절차: 단계별 수행 매뉴얼</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장은 실험의 모든 실습 과정을 상세하고 이해하기 쉽게 안내하는 핵심적인 '실행 지침서'입니다. 정확하고 재현 가능한 데이터를 얻기 위해 각 단계를 주의 깊게 따라야 합니다.</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기본 기술: 무균 조작법 (Aseptic Technique)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미생물 실험의 성패는 오염을 방지하는 무균 조작 능력에 달려있습니다. 모든 과정에서 다음 원칙을 철저히 준수해야 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6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작업 환경:</w:t>
      </w:r>
      <w:r w:rsidDel="00000000" w:rsidR="00000000" w:rsidRPr="00000000">
        <w:rPr>
          <w:rFonts w:ascii="Google Sans Text" w:cs="Google Sans Text" w:eastAsia="Google Sans Text" w:hAnsi="Google Sans Text"/>
          <w:i w:val="0"/>
          <w:color w:val="1b1c1d"/>
          <w:sz w:val="24"/>
          <w:szCs w:val="24"/>
          <w:rtl w:val="0"/>
        </w:rPr>
        <w:t xml:space="preserve"> 알코올 램프나 가스 버너 주변의 소독된 공간에서 작업하여 공기 중의 다른 미생물에 의한 오염을 최소화합니다.</w:t>
      </w:r>
    </w:p>
    <w:p w:rsidR="00000000" w:rsidDel="00000000" w:rsidP="00000000" w:rsidRDefault="00000000" w:rsidRPr="00000000" w14:paraId="0000006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도구의 살균:</w:t>
      </w:r>
      <w:r w:rsidDel="00000000" w:rsidR="00000000" w:rsidRPr="00000000">
        <w:rPr>
          <w:rFonts w:ascii="Google Sans Text" w:cs="Google Sans Text" w:eastAsia="Google Sans Text" w:hAnsi="Google Sans Text"/>
          <w:i w:val="0"/>
          <w:color w:val="1b1c1d"/>
          <w:sz w:val="24"/>
          <w:szCs w:val="24"/>
          <w:rtl w:val="0"/>
        </w:rPr>
        <w:t xml:space="preserve"> 금속 백금이(loop)는 사용 전후에 화염으로 붉게 달궈 완벽히 살균하고, 식힌 후 사용합니다. 일회용 플라스틱 루프나 팁을 사용할 경우, 멸균 포장을 개봉한 후 즉시 사용하고 재사용하지 않습니다.</w:t>
      </w:r>
    </w:p>
    <w:p w:rsidR="00000000" w:rsidDel="00000000" w:rsidP="00000000" w:rsidRDefault="00000000" w:rsidRPr="00000000" w14:paraId="0000006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오염 최소화:</w:t>
      </w:r>
      <w:r w:rsidDel="00000000" w:rsidR="00000000" w:rsidRPr="00000000">
        <w:rPr>
          <w:rFonts w:ascii="Google Sans Text" w:cs="Google Sans Text" w:eastAsia="Google Sans Text" w:hAnsi="Google Sans Text"/>
          <w:i w:val="0"/>
          <w:color w:val="1b1c1d"/>
          <w:sz w:val="24"/>
          <w:szCs w:val="24"/>
          <w:rtl w:val="0"/>
        </w:rPr>
        <w:t xml:space="preserve"> 배양액이 담긴 플라스크나 시험관의 뚜껑을 여는 시간을 최소화하고, 뚜껑을 작업대 위에 직접 내려놓지 않습니다.</w:t>
      </w:r>
    </w:p>
    <w:p w:rsidR="00000000" w:rsidDel="00000000" w:rsidP="00000000" w:rsidRDefault="00000000" w:rsidRPr="00000000" w14:paraId="0000006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교차 오염 방지:</w:t>
      </w:r>
      <w:r w:rsidDel="00000000" w:rsidR="00000000" w:rsidRPr="00000000">
        <w:rPr>
          <w:rFonts w:ascii="Google Sans Text" w:cs="Google Sans Text" w:eastAsia="Google Sans Text" w:hAnsi="Google Sans Text"/>
          <w:i w:val="0"/>
          <w:color w:val="1b1c1d"/>
          <w:sz w:val="24"/>
          <w:szCs w:val="24"/>
          <w:rtl w:val="0"/>
        </w:rPr>
        <w:t xml:space="preserve"> 각기 다른 균주나 실험군을 다룰 때는 반드시 새로운 멸균 팁이나 살균된 백금이를 사용합니다.</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성장 곡선 측정을 위한 OD600 측정 프로토콜</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OD600 (Optical Density at 600 nm)은 배양액의 탁도(turbidity)를 측정하여 박테리아의 상대적인 세포 수를 간접적으로 나타내는 가장 보편적인 방법입니다. 아래 절차는 정확한 측정을 위해 반드시 필요합니다.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p>
    <w:p w:rsidR="00000000" w:rsidDel="00000000" w:rsidP="00000000" w:rsidRDefault="00000000" w:rsidRPr="00000000" w14:paraId="0000006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기기 준비:</w:t>
      </w:r>
      <w:r w:rsidDel="00000000" w:rsidR="00000000" w:rsidRPr="00000000">
        <w:rPr>
          <w:rFonts w:ascii="Google Sans Text" w:cs="Google Sans Text" w:eastAsia="Google Sans Text" w:hAnsi="Google Sans Text"/>
          <w:i w:val="0"/>
          <w:color w:val="1b1c1d"/>
          <w:sz w:val="24"/>
          <w:szCs w:val="24"/>
          <w:rtl w:val="0"/>
        </w:rPr>
        <w:t xml:space="preserve"> 분광광도계(spectrophotometer)의 전원을 켜고 램프가 안정화될 때까지 최소 15분간 예열합니다. 파장을 600 nm로 설정합니다.</w:t>
      </w:r>
    </w:p>
    <w:p w:rsidR="00000000" w:rsidDel="00000000" w:rsidP="00000000" w:rsidRDefault="00000000" w:rsidRPr="00000000" w14:paraId="0000006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블랭크(Blank) 준비:</w:t>
      </w:r>
      <w:r w:rsidDel="00000000" w:rsidR="00000000" w:rsidRPr="00000000">
        <w:rPr>
          <w:rFonts w:ascii="Google Sans Text" w:cs="Google Sans Text" w:eastAsia="Google Sans Text" w:hAnsi="Google Sans Text"/>
          <w:i w:val="0"/>
          <w:color w:val="1b1c1d"/>
          <w:sz w:val="24"/>
          <w:szCs w:val="24"/>
          <w:rtl w:val="0"/>
        </w:rPr>
        <w:t xml:space="preserve"> 블랭크는 측정값의 영점을 설정하는 기준 용액입니다. 여기서 중요한 점은, </w:t>
      </w:r>
      <w:r w:rsidDel="00000000" w:rsidR="00000000" w:rsidRPr="00000000">
        <w:rPr>
          <w:rFonts w:ascii="Google Sans Text" w:cs="Google Sans Text" w:eastAsia="Google Sans Text" w:hAnsi="Google Sans Text"/>
          <w:b w:val="1"/>
          <w:i w:val="0"/>
          <w:color w:val="1b1c1d"/>
          <w:sz w:val="24"/>
          <w:szCs w:val="24"/>
          <w:rtl w:val="0"/>
        </w:rPr>
        <w:t xml:space="preserve">각 실험군마다 별도의 블랭크를 사용해야 한다는 것</w:t>
      </w:r>
      <w:r w:rsidDel="00000000" w:rsidR="00000000" w:rsidRPr="00000000">
        <w:rPr>
          <w:rFonts w:ascii="Google Sans Text" w:cs="Google Sans Text" w:eastAsia="Google Sans Text" w:hAnsi="Google Sans Text"/>
          <w:i w:val="0"/>
          <w:color w:val="1b1c1d"/>
          <w:sz w:val="24"/>
          <w:szCs w:val="24"/>
          <w:rtl w:val="0"/>
        </w:rPr>
        <w:t xml:space="preserve">입니다.</w:t>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음성 대조군용 블랭크:</w:t>
      </w:r>
      <w:r w:rsidDel="00000000" w:rsidR="00000000" w:rsidRPr="00000000">
        <w:rPr>
          <w:rFonts w:ascii="Google Sans Text" w:cs="Google Sans Text" w:eastAsia="Google Sans Text" w:hAnsi="Google Sans Text"/>
          <w:i w:val="0"/>
          <w:color w:val="1b1c1d"/>
          <w:sz w:val="24"/>
          <w:szCs w:val="24"/>
          <w:rtl w:val="0"/>
        </w:rPr>
        <w:t xml:space="preserve"> 박테리아가 없는 순수 배지(예: LB 또는 MRS 배지)를 큐벳(cuvette)에 담아 준비합니다.</w:t>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감미료 처리군용 블랭크:</w:t>
      </w:r>
      <w:r w:rsidDel="00000000" w:rsidR="00000000" w:rsidRPr="00000000">
        <w:rPr>
          <w:rFonts w:ascii="Google Sans Text" w:cs="Google Sans Text" w:eastAsia="Google Sans Text" w:hAnsi="Google Sans Text"/>
          <w:i w:val="0"/>
          <w:color w:val="1b1c1d"/>
          <w:sz w:val="24"/>
          <w:szCs w:val="24"/>
          <w:rtl w:val="0"/>
        </w:rPr>
        <w:t xml:space="preserve"> 해당 농도의 감미료가 첨가된, 박테리아가 없는 순수 배지를 사용합니다. 예를 들어, 1 mM 사카린 처리군을 측정할 때는 1 mM 사카린이 포함된 배지로 블랭크를 잡아야 합니다. 이는 감미료 자체가 가질 수 있는 미미한 흡광도를 보정하기 위함입니다.</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영점 조절:</w:t>
      </w:r>
      <w:r w:rsidDel="00000000" w:rsidR="00000000" w:rsidRPr="00000000">
        <w:rPr>
          <w:rFonts w:ascii="Google Sans Text" w:cs="Google Sans Text" w:eastAsia="Google Sans Text" w:hAnsi="Google Sans Text"/>
          <w:i w:val="0"/>
          <w:color w:val="1b1c1d"/>
          <w:sz w:val="24"/>
          <w:szCs w:val="24"/>
          <w:rtl w:val="0"/>
        </w:rPr>
        <w:t xml:space="preserve"> 준비된 블랭크 큐벳을 분광광도계에 넣고 'Blank' 또는 'Zero' 버튼을 눌러 흡광도 값을 0.000으로 맞춥니다.</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샘플 측정:</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무균적으로 흔들고 있는 배양 플라스크에서 샘플 1 mL를 채취합니다.</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깨끗한 큐벳에 샘플을 옮겨 담습니다. 이때 기포가 생기지 않도록 주의합니다.</w:t>
      </w:r>
    </w:p>
    <w:p w:rsidR="00000000" w:rsidDel="00000000" w:rsidP="00000000" w:rsidRDefault="00000000" w:rsidRPr="00000000" w14:paraId="00000072">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큐벳 외부를 깨끗한 실험용 티슈(예: Kimwipes)로 닦아 지문이나 이물질을 제거합니다.</w:t>
      </w:r>
    </w:p>
    <w:p w:rsidR="00000000" w:rsidDel="00000000" w:rsidP="00000000" w:rsidRDefault="00000000" w:rsidRPr="00000000" w14:paraId="0000007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큐벳을 분광광도계에 넣고 흡광도(OD600) 값을 읽어 기록합니다.</w:t>
      </w:r>
    </w:p>
    <w:p w:rsidR="00000000" w:rsidDel="00000000" w:rsidP="00000000" w:rsidRDefault="00000000" w:rsidRPr="00000000" w14:paraId="00000074">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측정이 끝나면 배양 플라스크를 즉시 배양기로 돌려보내 성장 조건을 유지합니다.</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고농도 샘플 처리 (희석의 법칙):</w:t>
      </w:r>
    </w:p>
    <w:p w:rsidR="00000000" w:rsidDel="00000000" w:rsidP="00000000" w:rsidRDefault="00000000" w:rsidRPr="00000000" w14:paraId="0000007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측정된 OD600 값이 1.0을 초과하면, 이는 분광광도계의 선형 범위(linear range)를 벗어난 값일 수 있어 정확도가 떨어집니다.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28</w:t>
      </w:r>
    </w:p>
    <w:p w:rsidR="00000000" w:rsidDel="00000000" w:rsidP="00000000" w:rsidRDefault="00000000" w:rsidRPr="00000000" w14:paraId="0000007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이 경우, 샘플을 희석하여 다시 측정해야 합니다. 예를 들어, </w:t>
      </w:r>
      <w:r w:rsidDel="00000000" w:rsidR="00000000" w:rsidRPr="00000000">
        <w:rPr>
          <w:rFonts w:ascii="Google Sans Text" w:cs="Google Sans Text" w:eastAsia="Google Sans Text" w:hAnsi="Google Sans Text"/>
          <w:b w:val="1"/>
          <w:i w:val="0"/>
          <w:color w:val="1b1c1d"/>
          <w:sz w:val="24"/>
          <w:szCs w:val="24"/>
          <w:rtl w:val="0"/>
        </w:rPr>
        <w:t xml:space="preserve">1:10 희석</w:t>
      </w:r>
      <w:r w:rsidDel="00000000" w:rsidR="00000000" w:rsidRPr="00000000">
        <w:rPr>
          <w:rFonts w:ascii="Google Sans Text" w:cs="Google Sans Text" w:eastAsia="Google Sans Text" w:hAnsi="Google Sans Text"/>
          <w:i w:val="0"/>
          <w:color w:val="1b1c1d"/>
          <w:sz w:val="24"/>
          <w:szCs w:val="24"/>
          <w:rtl w:val="0"/>
        </w:rPr>
        <w:t xml:space="preserve">은 배양액 100 µL와 해당 블랭크 용액 900 µL를 섞어 만듭니다.</w:t>
      </w:r>
    </w:p>
    <w:p w:rsidR="00000000" w:rsidDel="00000000" w:rsidP="00000000" w:rsidRDefault="00000000" w:rsidRPr="00000000" w14:paraId="0000007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희석된 샘플의 OD600 값을 측정한 후, 그 값에 희석 배수(이 경우 10)를 곱하여 원래 샘플의 보정된 OD600 값을 계산합니다. 예: 희석 후 측정값이 0.15이면, 보정된 값은 0.15×10=1.5가 됩니다.</w:t>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데이터 기록:</w:t>
      </w:r>
      <w:r w:rsidDel="00000000" w:rsidR="00000000" w:rsidRPr="00000000">
        <w:rPr>
          <w:rFonts w:ascii="Google Sans Text" w:cs="Google Sans Text" w:eastAsia="Google Sans Text" w:hAnsi="Google Sans Text"/>
          <w:i w:val="0"/>
          <w:color w:val="1b1c1d"/>
          <w:sz w:val="24"/>
          <w:szCs w:val="24"/>
          <w:rtl w:val="0"/>
        </w:rPr>
        <w:t xml:space="preserve"> 시간(Time), 대조군 OD600, 사카린 처리군 OD600, 아세설팜 칼륨 처리군 OD600 등의 열을 가진 스프레드시트에 측정값을 즉시 기록하여 데이터 누락을 방지합니다.</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계대 배양을 통한 내성 유도 프로토콜</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이 프로토콜은 연구의 두 번째 핵심 질문인 "인공 감미료에 반복적으로 노출된 미생물이 내성을 획득하는가?"를 검증하기 위해 설계되었습니다.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0일차 (최초 접종):</w:t>
      </w:r>
      <w:r w:rsidDel="00000000" w:rsidR="00000000" w:rsidRPr="00000000">
        <w:rPr>
          <w:rFonts w:ascii="Google Sans Text" w:cs="Google Sans Text" w:eastAsia="Google Sans Text" w:hAnsi="Google Sans Text"/>
          <w:i w:val="0"/>
          <w:color w:val="1b1c1d"/>
          <w:sz w:val="24"/>
          <w:szCs w:val="24"/>
          <w:rtl w:val="0"/>
        </w:rPr>
        <w:t xml:space="preserve"> 준비된 모든 실험군(대조군, 사카린 처리군, 아세설팜 칼륨 처리군)의 플라스크에 동일한 양의 초기 박테리아 배양액을 접종합니다. 40°C 배양기에서 24시간 동안 배양합니다.</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1일차 (1차 계대 배양):</w:t>
      </w:r>
      <w:r w:rsidDel="00000000" w:rsidR="00000000" w:rsidRPr="00000000">
        <w:rPr>
          <w:rFonts w:ascii="Google Sans Text" w:cs="Google Sans Text" w:eastAsia="Google Sans Text" w:hAnsi="Google Sans Text"/>
          <w:i w:val="0"/>
          <w:color w:val="1b1c1d"/>
          <w:sz w:val="24"/>
          <w:szCs w:val="24"/>
          <w:rtl w:val="0"/>
        </w:rPr>
        <w:t xml:space="preserve"> 24시간 배양 후, 각 플라스크의 OD600 값을 측정하여 성장을 확인합니다. 그 후, 각 플라스크에서 소량의 배양액(예: 100 µL)을 채취하여, </w:t>
      </w:r>
      <w:r w:rsidDel="00000000" w:rsidR="00000000" w:rsidRPr="00000000">
        <w:rPr>
          <w:rFonts w:ascii="Google Sans Text" w:cs="Google Sans Text" w:eastAsia="Google Sans Text" w:hAnsi="Google Sans Text"/>
          <w:b w:val="1"/>
          <w:i w:val="0"/>
          <w:color w:val="1b1c1d"/>
          <w:sz w:val="24"/>
          <w:szCs w:val="24"/>
          <w:rtl w:val="0"/>
        </w:rPr>
        <w:t xml:space="preserve">동일한 조건의 신선한 배지가 담긴 새 플라스크</w:t>
      </w:r>
      <w:r w:rsidDel="00000000" w:rsidR="00000000" w:rsidRPr="00000000">
        <w:rPr>
          <w:rFonts w:ascii="Google Sans Text" w:cs="Google Sans Text" w:eastAsia="Google Sans Text" w:hAnsi="Google Sans Text"/>
          <w:i w:val="0"/>
          <w:color w:val="1b1c1d"/>
          <w:sz w:val="24"/>
          <w:szCs w:val="24"/>
          <w:rtl w:val="0"/>
        </w:rPr>
        <w:t xml:space="preserve">로 옮겨줍니다. 예를 들어, 1 mM 사카린 처리군 플라스크에서 채취한 배양액은 1 mM 사카린이 포함된 새 배지로 옮겨야 합니다. 이것이 첫 번째 계대 배양(passage)입니다.</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반복:</w:t>
      </w:r>
      <w:r w:rsidDel="00000000" w:rsidR="00000000" w:rsidRPr="00000000">
        <w:rPr>
          <w:rFonts w:ascii="Google Sans Text" w:cs="Google Sans Text" w:eastAsia="Google Sans Text" w:hAnsi="Google Sans Text"/>
          <w:i w:val="0"/>
          <w:color w:val="1b1c1d"/>
          <w:sz w:val="24"/>
          <w:szCs w:val="24"/>
          <w:rtl w:val="0"/>
        </w:rPr>
        <w:t xml:space="preserve"> 이 과정을 월요일부터 금요일까지 매일 반복합니다. 매일 OD600 값을 기록하면 장기적인 성장 패턴의 변화를 추적할 수 있습니다.</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주말 처리:</w:t>
      </w:r>
      <w:r w:rsidDel="00000000" w:rsidR="00000000" w:rsidRPr="00000000">
        <w:rPr>
          <w:rFonts w:ascii="Google Sans Text" w:cs="Google Sans Text" w:eastAsia="Google Sans Text" w:hAnsi="Google Sans Text"/>
          <w:i w:val="0"/>
          <w:color w:val="1b1c1d"/>
          <w:sz w:val="24"/>
          <w:szCs w:val="24"/>
          <w:rtl w:val="0"/>
        </w:rPr>
        <w:t xml:space="preserve"> 금요일에 마지막 계대 배양을 수행한 후, 플라스크를 배양기에 그대로 두고 월요일까지 배양합니다. 이 기간 동안 박테리아는 영양분 고갈로 인해 정지기 후반 또는 사멸기에 들어갈 수 있습니다.</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주말 후 재개:</w:t>
      </w:r>
      <w:r w:rsidDel="00000000" w:rsidR="00000000" w:rsidRPr="00000000">
        <w:rPr>
          <w:rFonts w:ascii="Google Sans Text" w:cs="Google Sans Text" w:eastAsia="Google Sans Text" w:hAnsi="Google Sans Text"/>
          <w:i w:val="0"/>
          <w:color w:val="1b1c1d"/>
          <w:sz w:val="24"/>
          <w:szCs w:val="24"/>
          <w:rtl w:val="0"/>
        </w:rPr>
        <w:t xml:space="preserve"> 월요일에 다시 각 플라스크에서 배양액을 채취하여 신선한 배지로 계대 배양을 재개합니다.</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내성 획득 확인:</w:t>
      </w:r>
      <w:r w:rsidDel="00000000" w:rsidR="00000000" w:rsidRPr="00000000">
        <w:rPr>
          <w:rFonts w:ascii="Google Sans Text" w:cs="Google Sans Text" w:eastAsia="Google Sans Text" w:hAnsi="Google Sans Text"/>
          <w:i w:val="0"/>
          <w:color w:val="1b1c1d"/>
          <w:sz w:val="24"/>
          <w:szCs w:val="24"/>
          <w:rtl w:val="0"/>
        </w:rPr>
        <w:t xml:space="preserve"> 일정 횟수의 계대 배양(예: 5회, 10회, 15회)이 끝난 후, 내성이 유도되었는지를 본격적으로 확인하는 실험을 진행합니다. 장기간 감미료에 노출된 '적응된 균주'와 장기간 일반 배지에서 배양된 '대조군 균주'를 각각 채취합니다. 이 두 균주를 사용하여 감미료가 포함된 배지와 포함되지 않은 배지에서 다시 한번 전체 성장 곡선(0시간부터 24시간까지)을 측정합니다. 만약 '적응된 균주'가 감미료가 포함된 배지에서 '대조군 균주'보다 더 빨리, 혹은 더 높은 밀도로 자란다면, 이는 감미료에 대한 내성이 획득되었음을 시사하는 강력한 증거가 됩니다.</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제 4부: 데이터 분석과 해석: 숫자를 이야기로 만들기</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장에서는 수집된 원시 데이터를 의미 있는 결과로 가공하고, 이를 전문 과학자처럼 해석하는 방법을 안내합니다.</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데이터의 시각화: 성장 곡선 그래프 작성</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엑셀(Excel)이나 구글 시트(Google Sheets)와 같은 스프레드시트 프로그램을 사용하여 수집된 데이터를 시각화합니다. Y축에 OD600 값, X축에 시간(단위: 시간)을 설정하여 성장 곡선을 그립니다.</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여기서 한 단계 더 나아가, Y축을 로그 스케일(log scale)로 변환한 **세미-로그 플롯(semi-log plot)**을 반드시 그려야 합니다. 박테리아가 기하급수적으로 증식하는 대수기(exponential phase)는 일반 그래프에서는 곡선으로 나타나지만, 세미-로그 플롯에서는 직선으로 표시됩니다. 이 직선 구간은 성장 속도를 정확하게 계산하는 데 필수적입니다.</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성장의 정량화: 비성장 속도(μ)와 세대 시간(g)</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성장 곡선의 형태를 비교하는 것만으로는 부족합니다. 성장을 정량적인 수치로 표현해야 객관적인 비교가 가능합니다.</w:t>
      </w:r>
    </w:p>
    <w:p w:rsidR="00000000" w:rsidDel="00000000" w:rsidP="00000000" w:rsidRDefault="00000000" w:rsidRPr="00000000" w14:paraId="0000009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비성장 속도 (Specific Growth Rate, μ):</w:t>
      </w:r>
      <w:r w:rsidDel="00000000" w:rsidR="00000000" w:rsidRPr="00000000">
        <w:rPr>
          <w:rFonts w:ascii="Google Sans Text" w:cs="Google Sans Text" w:eastAsia="Google Sans Text" w:hAnsi="Google Sans Text"/>
          <w:i w:val="0"/>
          <w:color w:val="1b1c1d"/>
          <w:sz w:val="24"/>
          <w:szCs w:val="24"/>
          <w:rtl w:val="0"/>
        </w:rPr>
        <w:t xml:space="preserve"> 이는 대수기 동안 박테리아 개체군이 얼마나 빨리 증식하는지를 나타내는 지표입니다. 세미-로그 플롯에서 대수기에 해당하는 직선 구간의 두 점 $(t_1, OD_1)$과 $(t_2, OD_2)$를 선택하여 다음 공식을 이용해 계산합니다.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33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μ=t2​−t1​ln(OD2​)−ln(OD1​)​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여기서 ln은 자연로그이며, μ의 단위는 보통 시간당(hr−1)으로 표현됩니다.</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세대 시간 (Generation Time 또는 Doubling Time, g):</w:t>
      </w:r>
      <w:r w:rsidDel="00000000" w:rsidR="00000000" w:rsidRPr="00000000">
        <w:rPr>
          <w:rFonts w:ascii="Google Sans Text" w:cs="Google Sans Text" w:eastAsia="Google Sans Text" w:hAnsi="Google Sans Text"/>
          <w:i w:val="0"/>
          <w:color w:val="1b1c1d"/>
          <w:sz w:val="24"/>
          <w:szCs w:val="24"/>
          <w:rtl w:val="0"/>
        </w:rPr>
        <w:t xml:space="preserve"> 이는 박테리아 개체 수가 두 배로 증가하는 데 걸리는 시간입니다. 비성장 속도 μ를 이용하여 다음과 같이 계산할 수 있습니다.</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g=μln(2)​≈μ0.693​</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color w:val="1b1c1d"/>
          <w:sz w:val="24"/>
          <w:szCs w:val="24"/>
          <w:rtl w:val="0"/>
        </w:rPr>
        <w:t xml:space="preserve">세대 시간은 보통 분(minutes) 단위로 환산하여 보고합니다.</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계산된 값들을 아래와 같은 표로 정리하면 결과를 명확하고 간결하게 제시할 수 있습니다. 이 표는 결과 섹션의 핵심이 될 것입니다.</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표 4.2.1: 조건별 계산된 성장 지표</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조건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비성장 속도 (μ) (hr−1)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세대 시간 (g) (분)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대조군 (</w:t>
            </w:r>
            <w:r w:rsidDel="00000000" w:rsidR="00000000" w:rsidRPr="00000000">
              <w:rPr>
                <w:rFonts w:ascii="Google Sans Text" w:cs="Google Sans Text" w:eastAsia="Google Sans Text" w:hAnsi="Google Sans Text"/>
                <w:i w:val="1"/>
                <w:color w:val="1b1c1d"/>
                <w:sz w:val="20"/>
                <w:szCs w:val="20"/>
                <w:shd w:fill="auto" w:val="clear"/>
                <w:rtl w:val="0"/>
              </w:rPr>
              <w:t xml:space="preserve">E. coli</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 mM 사카린 (</w:t>
            </w:r>
            <w:r w:rsidDel="00000000" w:rsidR="00000000" w:rsidRPr="00000000">
              <w:rPr>
                <w:rFonts w:ascii="Google Sans Text" w:cs="Google Sans Text" w:eastAsia="Google Sans Text" w:hAnsi="Google Sans Text"/>
                <w:i w:val="1"/>
                <w:color w:val="1b1c1d"/>
                <w:sz w:val="20"/>
                <w:szCs w:val="20"/>
                <w:shd w:fill="auto" w:val="clear"/>
                <w:rtl w:val="0"/>
              </w:rPr>
              <w:t xml:space="preserve">E. coli</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 mM Ace-K (</w:t>
            </w:r>
            <w:r w:rsidDel="00000000" w:rsidR="00000000" w:rsidRPr="00000000">
              <w:rPr>
                <w:rFonts w:ascii="Google Sans Text" w:cs="Google Sans Text" w:eastAsia="Google Sans Text" w:hAnsi="Google Sans Text"/>
                <w:i w:val="1"/>
                <w:color w:val="1b1c1d"/>
                <w:sz w:val="20"/>
                <w:szCs w:val="20"/>
                <w:shd w:fill="auto" w:val="clear"/>
                <w:rtl w:val="0"/>
              </w:rPr>
              <w:t xml:space="preserve">E. coli</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대조군 (</w:t>
            </w:r>
            <w:r w:rsidDel="00000000" w:rsidR="00000000" w:rsidRPr="00000000">
              <w:rPr>
                <w:rFonts w:ascii="Google Sans Text" w:cs="Google Sans Text" w:eastAsia="Google Sans Text" w:hAnsi="Google Sans Text"/>
                <w:i w:val="1"/>
                <w:color w:val="1b1c1d"/>
                <w:sz w:val="20"/>
                <w:szCs w:val="20"/>
                <w:shd w:fill="auto" w:val="clear"/>
                <w:rtl w:val="0"/>
              </w:rPr>
              <w:t xml:space="preserve">Lactobacillus</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 mM 사카린 (</w:t>
            </w:r>
            <w:r w:rsidDel="00000000" w:rsidR="00000000" w:rsidRPr="00000000">
              <w:rPr>
                <w:rFonts w:ascii="Google Sans Text" w:cs="Google Sans Text" w:eastAsia="Google Sans Text" w:hAnsi="Google Sans Text"/>
                <w:i w:val="1"/>
                <w:color w:val="1b1c1d"/>
                <w:sz w:val="20"/>
                <w:szCs w:val="20"/>
                <w:shd w:fill="auto" w:val="clear"/>
                <w:rtl w:val="0"/>
              </w:rPr>
              <w:t xml:space="preserve">Lactobacillus</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 mM Ace-K (</w:t>
            </w:r>
            <w:r w:rsidDel="00000000" w:rsidR="00000000" w:rsidRPr="00000000">
              <w:rPr>
                <w:rFonts w:ascii="Google Sans Text" w:cs="Google Sans Text" w:eastAsia="Google Sans Text" w:hAnsi="Google Sans Text"/>
                <w:i w:val="1"/>
                <w:color w:val="1b1c1d"/>
                <w:sz w:val="20"/>
                <w:szCs w:val="20"/>
                <w:shd w:fill="auto" w:val="clear"/>
                <w:rtl w:val="0"/>
              </w:rPr>
              <w:t xml:space="preserve">Lactobacillus</w:t>
            </w: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(계산값 입력)</w:t>
            </w:r>
          </w:p>
        </w:tc>
      </w:tr>
    </w:tbl>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4.3. 성장 곡선의 이야기 해석하기</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그래프와 표는 단순한 데이터의 나열이 아니라, 박테리아가 감미료에 어떻게 반응했는지를 보여주는 이야기입니다. 각 성장 단계의 변화를 해석하여 이 이야기를 풀어내야 합니다.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A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유도기 (Lag Phase):</w:t>
      </w:r>
      <w:r w:rsidDel="00000000" w:rsidR="00000000" w:rsidRPr="00000000">
        <w:rPr>
          <w:rFonts w:ascii="Google Sans Text" w:cs="Google Sans Text" w:eastAsia="Google Sans Text" w:hAnsi="Google Sans Text"/>
          <w:i w:val="0"/>
          <w:color w:val="1b1c1d"/>
          <w:sz w:val="24"/>
          <w:szCs w:val="24"/>
          <w:rtl w:val="0"/>
        </w:rPr>
        <w:t xml:space="preserve"> 감미료를 첨가한 그룹에서 유도기가 길어졌는가? 이는 박테리아가 새로운 화학적 스트레스에 적응하고 필요한 효소나 대사 경로를 활성화하는 데 시간이 더 걸렸음을 의미합니다.</w:t>
      </w:r>
    </w:p>
    <w:p w:rsidR="00000000" w:rsidDel="00000000" w:rsidP="00000000" w:rsidRDefault="00000000" w:rsidRPr="00000000" w14:paraId="000000A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대수기 (Exponential/Log Phase):</w:t>
      </w:r>
      <w:r w:rsidDel="00000000" w:rsidR="00000000" w:rsidRPr="00000000">
        <w:rPr>
          <w:rFonts w:ascii="Google Sans Text" w:cs="Google Sans Text" w:eastAsia="Google Sans Text" w:hAnsi="Google Sans Text"/>
          <w:i w:val="0"/>
          <w:color w:val="1b1c1d"/>
          <w:sz w:val="24"/>
          <w:szCs w:val="24"/>
          <w:rtl w:val="0"/>
        </w:rPr>
        <w:t xml:space="preserve"> 감미료가 비성장 속도(그래프의 기울기)를 감소시켰는가? 이는 감미료가 세포 분열, 단백질 합성, 에너지 생산과 같은 핵심적인 생명 유지 활동을 직접적으로 방해하고 있음을 시사합니다.</w:t>
      </w:r>
    </w:p>
    <w:p w:rsidR="00000000" w:rsidDel="00000000" w:rsidP="00000000" w:rsidRDefault="00000000" w:rsidRPr="00000000" w14:paraId="000000B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정지기 (Stationary Phase):</w:t>
      </w:r>
      <w:r w:rsidDel="00000000" w:rsidR="00000000" w:rsidRPr="00000000">
        <w:rPr>
          <w:rFonts w:ascii="Google Sans Text" w:cs="Google Sans Text" w:eastAsia="Google Sans Text" w:hAnsi="Google Sans Text"/>
          <w:i w:val="0"/>
          <w:color w:val="1b1c1d"/>
          <w:sz w:val="24"/>
          <w:szCs w:val="24"/>
          <w:rtl w:val="0"/>
        </w:rPr>
        <w:t xml:space="preserve"> 감미료 처리군이 도달한 최대 OD600 값이 대조군보다 낮았는가? 이는 감미료가 세포에 독성을 나타내어 더 높은 밀도로 증식하는 것을 막았거나, 특정 영양소의 활용을 저해했을 가능성을 나타냅니다.</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이러한 해석을 1장에서 다룬 작용 기전과 연결하는 것이 중요합니다. 예를 들어, "사카린 처리된 대장균에서 관찰된 유도기의 연장과 비성장 속도의 감소는, 사카린이 세포 외피의 완전성을 손상시키고 DNA 복제를 방해하여 빠른 증식에 필수적인 과정을 저해한다는 기존 문헌의 보고와 일치한다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"와 같이 기술할 수 있습니다.</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제 5부: 심화 탐구: 내성의 유전적 기반 조사</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장에서는 연구의 가장 도전적인 부분인 내성의 유전적 원인 탐구를 위한 구체적인 계획과, 실험이 여의치 않을 경우를 대비한 강력한 생물정보학적 대안을 제시합니다.</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5.1. PCR 가설 설정: 광범위한 질문에서 검증 가능한 아이디어로</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성공적인 PCR 실험은 막연한 탐색이 아니라, 구체적이고 가설 기반의 목표를 가질 때 가능합니다. 문헌 연구를 통해, 사카린에 대한 획득된 내성(tolerance)과 관련하여 가장 유망한 표적 유전자는 **세포벽 생합성(cell wall biogenesis)**과 **DNA 손상 복구(DNA damage repair)**에 관여하는 유전자들입니다.</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사카린이 세포 외피와 DNA를 공격한다는 사실로부터 </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박테리아의 논리적인 적응 반응은 이러한 손상을 복구하는 능력을 강화하는 것임을 추론할 수 있습니다. 따라서 다음과 같은 구체적인 가설을 세울 수 있습니다.</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가설: 사카린에 내성을 획득한 대장균은 세포벽 구성 요소인 펩티도글리칸 합성 관련 유전자나, DNA 손상에 대한 SOS 반응의 핵심 조절자인 </w:t>
      </w:r>
      <w:r w:rsidDel="00000000" w:rsidR="00000000" w:rsidRPr="00000000">
        <w:rPr>
          <w:rFonts w:ascii="Google Sans Text" w:cs="Google Sans Text" w:eastAsia="Google Sans Text" w:hAnsi="Google Sans Text"/>
          <w:b w:val="1"/>
          <w:i w:val="1"/>
          <w:color w:val="1b1c1d"/>
          <w:sz w:val="24"/>
          <w:szCs w:val="24"/>
          <w:rtl w:val="0"/>
        </w:rPr>
        <w:t xml:space="preserve">recA</w:t>
      </w:r>
      <w:r w:rsidDel="00000000" w:rsidR="00000000" w:rsidRPr="00000000">
        <w:rPr>
          <w:rFonts w:ascii="Google Sans Text" w:cs="Google Sans Text" w:eastAsia="Google Sans Text" w:hAnsi="Google Sans Text"/>
          <w:b w:val="1"/>
          <w:i w:val="0"/>
          <w:color w:val="1b1c1d"/>
          <w:sz w:val="24"/>
          <w:szCs w:val="24"/>
          <w:rtl w:val="0"/>
        </w:rPr>
        <w:t xml:space="preserve"> 유전자의 발현을 상향 조절(upregulate)할 것이다.</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 가설은 "유전적 원인을 찾고 싶다"는 막연한 목표를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"사카린 내성 균주에서</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recA</w:t>
      </w:r>
      <w:r w:rsidDel="00000000" w:rsidR="00000000" w:rsidRPr="00000000">
        <w:rPr>
          <w:rFonts w:ascii="Google Sans Text" w:cs="Google Sans Text" w:eastAsia="Google Sans Text" w:hAnsi="Google Sans Text"/>
          <w:i w:val="0"/>
          <w:color w:val="1b1c1d"/>
          <w:sz w:val="24"/>
          <w:szCs w:val="24"/>
          <w:rtl w:val="0"/>
        </w:rPr>
        <w:t xml:space="preserve"> 유전자의 mRNA 발현량이 대조군 균주에 비해 증가했는지 qPCR로 비교하고 싶다"는 전문적이고 실현 가능한 제안으로 바꾸어 줍니다. 이는 안동대학교 연구실에 협조를 구할 때 매우 강력한 설득력을 가질 것입니다.</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5.2. 비교 유전자 발현 분석(qPCR)의 실제</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정량적 PCR(Quantitative PCR, qPCR)은 특정 유전자의 전사체(mRNA) 양을 측정하는 기술로, 유전자의 활성도(발현 수준)를 간접적으로 보여줍니다. 이 실험의 핵심은 다음 세 가지 샘플에서 표적 유전자(예: </w:t>
      </w:r>
      <w:r w:rsidDel="00000000" w:rsidR="00000000" w:rsidRPr="00000000">
        <w:rPr>
          <w:rFonts w:ascii="Google Sans Text" w:cs="Google Sans Text" w:eastAsia="Google Sans Text" w:hAnsi="Google Sans Text"/>
          <w:i w:val="1"/>
          <w:color w:val="1b1c1d"/>
          <w:sz w:val="24"/>
          <w:szCs w:val="24"/>
          <w:rtl w:val="0"/>
        </w:rPr>
        <w:t xml:space="preserve">recA</w:t>
      </w:r>
      <w:r w:rsidDel="00000000" w:rsidR="00000000" w:rsidRPr="00000000">
        <w:rPr>
          <w:rFonts w:ascii="Google Sans Text" w:cs="Google Sans Text" w:eastAsia="Google Sans Text" w:hAnsi="Google Sans Text"/>
          <w:i w:val="0"/>
          <w:color w:val="1b1c1d"/>
          <w:sz w:val="24"/>
          <w:szCs w:val="24"/>
          <w:rtl w:val="0"/>
        </w:rPr>
        <w:t xml:space="preserve">)의 mRNA 양을 비교하는 것입니다.</w:t>
      </w:r>
    </w:p>
    <w:p w:rsidR="00000000" w:rsidDel="00000000" w:rsidP="00000000" w:rsidRDefault="00000000" w:rsidRPr="00000000" w14:paraId="000000C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순수 균주 (Naive bacteria):</w:t>
      </w:r>
      <w:r w:rsidDel="00000000" w:rsidR="00000000" w:rsidRPr="00000000">
        <w:rPr>
          <w:rFonts w:ascii="Google Sans Text" w:cs="Google Sans Text" w:eastAsia="Google Sans Text" w:hAnsi="Google Sans Text"/>
          <w:i w:val="0"/>
          <w:color w:val="1b1c1d"/>
          <w:sz w:val="24"/>
          <w:szCs w:val="24"/>
          <w:rtl w:val="0"/>
        </w:rPr>
        <w:t xml:space="preserve"> 감미료에 노출된 적 없는 대조군 박테리아.</w:t>
      </w:r>
    </w:p>
    <w:p w:rsidR="00000000" w:rsidDel="00000000" w:rsidP="00000000" w:rsidRDefault="00000000" w:rsidRPr="00000000" w14:paraId="000000C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급성 반응 균주:</w:t>
      </w:r>
      <w:r w:rsidDel="00000000" w:rsidR="00000000" w:rsidRPr="00000000">
        <w:rPr>
          <w:rFonts w:ascii="Google Sans Text" w:cs="Google Sans Text" w:eastAsia="Google Sans Text" w:hAnsi="Google Sans Text"/>
          <w:i w:val="0"/>
          <w:color w:val="1b1c1d"/>
          <w:sz w:val="24"/>
          <w:szCs w:val="24"/>
          <w:rtl w:val="0"/>
        </w:rPr>
        <w:t xml:space="preserve"> 순수 균주를 짧은 시간 동안 감미료에 노출시킨 박테리아 (급성 스트레스 반응 확인용).</w:t>
      </w:r>
    </w:p>
    <w:p w:rsidR="00000000" w:rsidDel="00000000" w:rsidP="00000000" w:rsidRDefault="00000000" w:rsidRPr="00000000" w14:paraId="000000C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내성 획득 균주:</w:t>
      </w:r>
      <w:r w:rsidDel="00000000" w:rsidR="00000000" w:rsidRPr="00000000">
        <w:rPr>
          <w:rFonts w:ascii="Google Sans Text" w:cs="Google Sans Text" w:eastAsia="Google Sans Text" w:hAnsi="Google Sans Text"/>
          <w:i w:val="0"/>
          <w:color w:val="1b1c1d"/>
          <w:sz w:val="24"/>
          <w:szCs w:val="24"/>
          <w:rtl w:val="0"/>
        </w:rPr>
        <w:t xml:space="preserve"> 계대 배양을 통해 장기간 감미료에 노출되어 내성을 획득한 박테리아 (적응 반응 확인용).</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qPCR 실험에서는 표적 유전자를 증폭하기 위한 특이적인 </w:t>
      </w:r>
      <w:r w:rsidDel="00000000" w:rsidR="00000000" w:rsidRPr="00000000">
        <w:rPr>
          <w:rFonts w:ascii="Google Sans Text" w:cs="Google Sans Text" w:eastAsia="Google Sans Text" w:hAnsi="Google Sans Text"/>
          <w:b w:val="1"/>
          <w:i w:val="0"/>
          <w:color w:val="1b1c1d"/>
          <w:sz w:val="24"/>
          <w:szCs w:val="24"/>
          <w:rtl w:val="0"/>
        </w:rPr>
        <w:t xml:space="preserve">프라이머(primer)</w:t>
      </w:r>
      <w:r w:rsidDel="00000000" w:rsidR="00000000" w:rsidRPr="00000000">
        <w:rPr>
          <w:rFonts w:ascii="Google Sans Text" w:cs="Google Sans Text" w:eastAsia="Google Sans Text" w:hAnsi="Google Sans Text"/>
          <w:i w:val="0"/>
          <w:color w:val="1b1c1d"/>
          <w:sz w:val="24"/>
          <w:szCs w:val="24"/>
          <w:rtl w:val="0"/>
        </w:rPr>
        <w:t xml:space="preserve"> 쌍이 필요하며, 모든 샘플에서 발현량이 일정하게 유지되는 </w:t>
      </w:r>
      <w:r w:rsidDel="00000000" w:rsidR="00000000" w:rsidRPr="00000000">
        <w:rPr>
          <w:rFonts w:ascii="Google Sans Text" w:cs="Google Sans Text" w:eastAsia="Google Sans Text" w:hAnsi="Google Sans Text"/>
          <w:b w:val="1"/>
          <w:i w:val="0"/>
          <w:color w:val="1b1c1d"/>
          <w:sz w:val="24"/>
          <w:szCs w:val="24"/>
          <w:rtl w:val="0"/>
        </w:rPr>
        <w:t xml:space="preserve">참조 유전자(housekeeping gene)</w:t>
      </w:r>
      <w:r w:rsidDel="00000000" w:rsidR="00000000" w:rsidRPr="00000000">
        <w:rPr>
          <w:rFonts w:ascii="Google Sans Text" w:cs="Google Sans Text" w:eastAsia="Google Sans Text" w:hAnsi="Google Sans Text"/>
          <w:i w:val="0"/>
          <w:color w:val="1b1c1d"/>
          <w:sz w:val="24"/>
          <w:szCs w:val="24"/>
          <w:rtl w:val="0"/>
        </w:rPr>
        <w:t xml:space="preserve">(예: </w:t>
      </w:r>
      <w:r w:rsidDel="00000000" w:rsidR="00000000" w:rsidRPr="00000000">
        <w:rPr>
          <w:rFonts w:ascii="Google Sans Text" w:cs="Google Sans Text" w:eastAsia="Google Sans Text" w:hAnsi="Google Sans Text"/>
          <w:i w:val="1"/>
          <w:color w:val="1b1c1d"/>
          <w:sz w:val="24"/>
          <w:szCs w:val="24"/>
          <w:rtl w:val="0"/>
        </w:rPr>
        <w:t xml:space="preserve">rpoA</w:t>
      </w:r>
      <w:r w:rsidDel="00000000" w:rsidR="00000000" w:rsidRPr="00000000">
        <w:rPr>
          <w:rFonts w:ascii="Google Sans Text" w:cs="Google Sans Text" w:eastAsia="Google Sans Text" w:hAnsi="Google Sans Text"/>
          <w:i w:val="0"/>
          <w:color w:val="1b1c1d"/>
          <w:sz w:val="24"/>
          <w:szCs w:val="24"/>
          <w:rtl w:val="0"/>
        </w:rPr>
        <w:t xml:space="preserve">)를 함께 측정하여 데이터의 정확성을 보정합니다.</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 가상 현미경으로서의 생물정보학: BV-BRC와 AMRFinder 활용</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PCR 실험의 성공 여부와 관계없이 수행할 수 있는 이 분석은, 자신의 연구를 기존의 방대한 유전체 데이터 맥락 속에 위치시키는 강력한 도구입니다. BV-BRC(Bacterial and Viral Bioinformatics Resource Center, 과거 PATRIC 데이터베이스 통합)와 그 안에 탑재된 AMRFinderPlus 도구를 활용하면 전문 연구자 수준의 분석을 수행할 수 있습니다.</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5.3.1. BV-BRC 활용 튜토리얼</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BV-BRC 웹사이트(www.bv-brc.org)에 접속합니다.</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'Organisms' 탭을 사용하여 </w:t>
      </w:r>
      <w:r w:rsidDel="00000000" w:rsidR="00000000" w:rsidRPr="00000000">
        <w:rPr>
          <w:rFonts w:ascii="Google Sans Text" w:cs="Google Sans Text" w:eastAsia="Google Sans Text" w:hAnsi="Google Sans Text"/>
          <w:i w:val="1"/>
          <w:color w:val="1b1c1d"/>
          <w:sz w:val="24"/>
          <w:szCs w:val="24"/>
          <w:rtl w:val="0"/>
        </w:rPr>
        <w:t xml:space="preserve">Escherichia coli</w:t>
      </w:r>
      <w:r w:rsidDel="00000000" w:rsidR="00000000" w:rsidRPr="00000000">
        <w:rPr>
          <w:rFonts w:ascii="Google Sans Text" w:cs="Google Sans Text" w:eastAsia="Google Sans Text" w:hAnsi="Google Sans Text"/>
          <w:i w:val="0"/>
          <w:color w:val="1b1c1d"/>
          <w:sz w:val="24"/>
          <w:szCs w:val="24"/>
          <w:rtl w:val="0"/>
        </w:rPr>
        <w:t xml:space="preserve"> (예: K-12 MG1655 균주)와 연구에 사용한 </w:t>
      </w:r>
      <w:r w:rsidDel="00000000" w:rsidR="00000000" w:rsidRPr="00000000">
        <w:rPr>
          <w:rFonts w:ascii="Google Sans Text" w:cs="Google Sans Text" w:eastAsia="Google Sans Text" w:hAnsi="Google Sans Text"/>
          <w:i w:val="1"/>
          <w:color w:val="1b1c1d"/>
          <w:sz w:val="24"/>
          <w:szCs w:val="24"/>
          <w:rtl w:val="0"/>
        </w:rPr>
        <w:t xml:space="preserve">Lactobacillus</w:t>
      </w:r>
      <w:r w:rsidDel="00000000" w:rsidR="00000000" w:rsidRPr="00000000">
        <w:rPr>
          <w:rFonts w:ascii="Google Sans Text" w:cs="Google Sans Text" w:eastAsia="Google Sans Text" w:hAnsi="Google Sans Text"/>
          <w:i w:val="0"/>
          <w:color w:val="1b1c1d"/>
          <w:sz w:val="24"/>
          <w:szCs w:val="24"/>
          <w:rtl w:val="0"/>
        </w:rPr>
        <w:t xml:space="preserve"> 종의 표준 균주(reference genome)를 검색합니다.</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해당 균주의 상세 정보 페이지에서 'AMR Phenotypes' 탭을 클릭합니다. 이 페이지에서는 해당 균주가 어떤 항생제에 대해 저항성, 감수성, 또는 중간 정도의 반응을 보이는지에 대한 실험 데이터가 정리되어 있습니다.</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color w:val="1b1c1d"/>
          <w:sz w:val="24"/>
          <w:szCs w:val="24"/>
          <w:rtl w:val="0"/>
        </w:rPr>
        <w:t xml:space="preserve">이 정보는 연구 대상 미생물이 선천적으로 어떤 항생제 내성 프로파일을 가지고 있는지 이해하는 데 중요한 배경지식이 되며, 보고서의 서론 부분을 풍부하게 만들어 줍니다.</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아래 표는 생물정보학 분석을 통해 어떤 종류의 정보를 얻을 수 있는지 보여주는 예시입니다.</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표 5.3.1: </w:t>
      </w:r>
      <w:r w:rsidDel="00000000" w:rsidR="00000000" w:rsidRPr="00000000">
        <w:rPr>
          <w:rFonts w:ascii="Google Sans Text" w:cs="Google Sans Text" w:eastAsia="Google Sans Text" w:hAnsi="Google Sans Text"/>
          <w:b w:val="1"/>
          <w:i w:val="1"/>
          <w:color w:val="1b1c1d"/>
          <w:sz w:val="24"/>
          <w:szCs w:val="24"/>
          <w:rtl w:val="0"/>
        </w:rPr>
        <w:t xml:space="preserve">E. coli</w:t>
      </w:r>
      <w:r w:rsidDel="00000000" w:rsidR="00000000" w:rsidRPr="00000000">
        <w:rPr>
          <w:rFonts w:ascii="Google Sans Text" w:cs="Google Sans Text" w:eastAsia="Google Sans Text" w:hAnsi="Google Sans Text"/>
          <w:b w:val="1"/>
          <w:i w:val="0"/>
          <w:color w:val="1b1c1d"/>
          <w:sz w:val="24"/>
          <w:szCs w:val="24"/>
          <w:rtl w:val="0"/>
        </w:rPr>
        <w:t xml:space="preserve"> K-12 균주에서 발견되는 항생제 저항성(AMR) 유전자 예시</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유전자명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단백질 산물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작용 기전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본 연구와의 관련성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color w:val="1b1c1d"/>
                <w:sz w:val="20"/>
                <w:szCs w:val="20"/>
                <w:shd w:fill="auto" w:val="clear"/>
              </w:rPr>
            </w:pPr>
            <w:r w:rsidDel="00000000" w:rsidR="00000000" w:rsidRPr="00000000">
              <w:rPr>
                <w:rFonts w:ascii="Google Sans Text" w:cs="Google Sans Text" w:eastAsia="Google Sans Text" w:hAnsi="Google Sans Text"/>
                <w:i w:val="1"/>
                <w:color w:val="1b1c1d"/>
                <w:sz w:val="20"/>
                <w:szCs w:val="20"/>
                <w:shd w:fill="auto" w:val="clear"/>
                <w:rtl w:val="0"/>
              </w:rPr>
              <w:t xml:space="preserve">ampC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베타-락타메이즈 (Beta-lactamase)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암피실린과 같은 베타-락탐 계열 항생제를 가수분해하여 비활성화시킴.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이 유전자는 고전적인 항생제 저항성 기전을 보여주는 예시로, 본 연구에서 탐구하는 스트레스에 대한 '내성(tolerance)' 기전과 비교/대조하는 데 유용함.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color w:val="1b1c1d"/>
                <w:sz w:val="20"/>
                <w:szCs w:val="20"/>
                <w:shd w:fill="auto" w:val="clear"/>
              </w:rPr>
            </w:pPr>
            <w:r w:rsidDel="00000000" w:rsidR="00000000" w:rsidRPr="00000000">
              <w:rPr>
                <w:rFonts w:ascii="Google Sans Text" w:cs="Google Sans Text" w:eastAsia="Google Sans Text" w:hAnsi="Google Sans Text"/>
                <w:i w:val="1"/>
                <w:color w:val="1b1c1d"/>
                <w:sz w:val="20"/>
                <w:szCs w:val="20"/>
                <w:shd w:fill="auto" w:val="clear"/>
                <w:rtl w:val="0"/>
              </w:rPr>
              <w:t xml:space="preserve">marA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다제내성 조절자 (Multiple antibiotic resistance regulator)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다양한 약물 배출 펌프(efflux pump)의 발현을 증가시켜 여러 종류의 항생제를 세포 밖으로 배출함.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특정 화합물에 대한 저항성이 아니라, 여러 스트레스에 대한 광범위한 방어 시스템을 조절한다는 점에서 본 연구의 '내성' 개념과 일부 유사점을 가짐.</w:t>
            </w:r>
          </w:p>
        </w:tc>
      </w:tr>
    </w:tbl>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이러한 분석은 추상적인 '항생제 저항성 유전자' 개념을 구체적인 예시로 만들어주며, 전문 데이터베이스를 활용하여 배경 정보를 수집하는 핵심적인 연구 역량을 길러줍니다.</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제 6부: 연구의 종합: 설득력 있는 보고서 작성하기</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마지막 장에서는 그동안의 노력을 바탕으로, 논리적이고 설득력 있는 과학적 내러티브를 구성하여 최종 보고서를 완성하는 방법을 안내합니다.</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6.1. 과학 논문의 구조</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보고서는 표준적인 IMRaD 형식(서론, 방법, 결과, 고찰)에 따라 구성합니다.</w:t>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서론 (Introduction):</w:t>
      </w:r>
      <w:r w:rsidDel="00000000" w:rsidR="00000000" w:rsidRPr="00000000">
        <w:rPr>
          <w:rFonts w:ascii="Google Sans Text" w:cs="Google Sans Text" w:eastAsia="Google Sans Text" w:hAnsi="Google Sans Text"/>
          <w:i w:val="0"/>
          <w:color w:val="1b1c1d"/>
          <w:sz w:val="24"/>
          <w:szCs w:val="24"/>
          <w:rtl w:val="0"/>
        </w:rPr>
        <w:t xml:space="preserve"> 넓은 주제(장내 미생물과 건강, 인공 감미료 소비 증가)에서 시작하여, 좁은 주제(감미료가 미생물에 미치는 영향에 대한 논쟁)로 초점을 좁혀 나갑니다. 기존 연구의 한계(knowledge gap)를 지적하고, 본 연구의 명확한 연구 질문과 가설을 제시하며 마무리합니다.</w:t>
      </w:r>
    </w:p>
    <w:p w:rsidR="00000000" w:rsidDel="00000000" w:rsidP="00000000" w:rsidRDefault="00000000" w:rsidRPr="00000000" w14:paraId="000000E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방법 (Methods):</w:t>
      </w:r>
      <w:r w:rsidDel="00000000" w:rsidR="00000000" w:rsidRPr="00000000">
        <w:rPr>
          <w:rFonts w:ascii="Google Sans Text" w:cs="Google Sans Text" w:eastAsia="Google Sans Text" w:hAnsi="Google Sans Text"/>
          <w:i w:val="0"/>
          <w:color w:val="1b1c1d"/>
          <w:sz w:val="24"/>
          <w:szCs w:val="24"/>
          <w:rtl w:val="0"/>
        </w:rPr>
        <w:t xml:space="preserve"> 다른 연구자가 이 실험을 그대로 재현할 수 있을 정도로 상세하고 명확하게 절차를 기술합니다. 특히 40°C 배양기 사용, 주말을 고려한 간헐적 노출 프로토콜 등 본 연구만의 독특한 조건들을 투명하게 밝히고 그 설정 이유를 과학적으로 정당화해야 합니다.</w:t>
      </w:r>
    </w:p>
    <w:p w:rsidR="00000000" w:rsidDel="00000000" w:rsidP="00000000" w:rsidRDefault="00000000" w:rsidRPr="00000000" w14:paraId="000000E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결과 (Results):</w:t>
      </w:r>
      <w:r w:rsidDel="00000000" w:rsidR="00000000" w:rsidRPr="00000000">
        <w:rPr>
          <w:rFonts w:ascii="Google Sans Text" w:cs="Google Sans Text" w:eastAsia="Google Sans Text" w:hAnsi="Google Sans Text"/>
          <w:i w:val="0"/>
          <w:color w:val="1b1c1d"/>
          <w:sz w:val="24"/>
          <w:szCs w:val="24"/>
          <w:rtl w:val="0"/>
        </w:rPr>
        <w:t xml:space="preserve"> 4장에서 설계한 표와 그래프를 사용하여 데이터를 객관적으로 제시합니다. 해석이나 주관적인 판단 없이, 관찰된 사실만을 간결하게 서술합니다.</w:t>
      </w:r>
    </w:p>
    <w:p w:rsidR="00000000" w:rsidDel="00000000" w:rsidP="00000000" w:rsidRDefault="00000000" w:rsidRPr="00000000" w14:paraId="000000E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고찰 (Discussion):</w:t>
      </w:r>
      <w:r w:rsidDel="00000000" w:rsidR="00000000" w:rsidRPr="00000000">
        <w:rPr>
          <w:rFonts w:ascii="Google Sans Text" w:cs="Google Sans Text" w:eastAsia="Google Sans Text" w:hAnsi="Google Sans Text"/>
          <w:i w:val="0"/>
          <w:color w:val="1b1c1d"/>
          <w:sz w:val="24"/>
          <w:szCs w:val="24"/>
          <w:rtl w:val="0"/>
        </w:rPr>
        <w:t xml:space="preserve"> 결과의 의미를 해석하고, 기존 문헌과 비교하며, 연구의 한계와 의의를 논하는 가장 중요한 부분입니다.</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6.2. 고찰 작성의 기술: 이야기의 완성</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고찰은 단순히 결과를 요약하는 곳이 아닙니다. 데이터를 과학적 맥락 속에 위치시키고 그 의미를 깊이 탐구하는 과정입니다.</w:t>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기존 문헌과의 연결:</w:t>
      </w:r>
      <w:r w:rsidDel="00000000" w:rsidR="00000000" w:rsidRPr="00000000">
        <w:rPr>
          <w:rFonts w:ascii="Google Sans Text" w:cs="Google Sans Text" w:eastAsia="Google Sans Text" w:hAnsi="Google Sans Text"/>
          <w:i w:val="0"/>
          <w:color w:val="1b1c1d"/>
          <w:sz w:val="24"/>
          <w:szCs w:val="24"/>
          <w:rtl w:val="0"/>
        </w:rPr>
        <w:t xml:space="preserve"> 본 연구의 결과가 1장에서 인용한 선행 연구들과 어떻게 비교되는지 논의합니다. 만약 대장균에 대한 사카린의 성장 억제 효과가 나타났다면, 이는 Shil &amp; Chichger </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및 de Dios 등 </w:t>
      </w:r>
      <w:r w:rsidDel="00000000" w:rsidR="00000000" w:rsidRPr="00000000">
        <w:rPr>
          <w:rFonts w:ascii="Google Sans Text" w:cs="Google Sans Text" w:eastAsia="Google Sans Text" w:hAnsi="Google Sans Text"/>
          <w:i w:val="0"/>
          <w:color w:val="575b5f"/>
          <w:sz w:val="24"/>
          <w:szCs w:val="24"/>
          <w:vertAlign w:val="superscript"/>
          <w:rtl w:val="0"/>
        </w:rPr>
        <w:t xml:space="preserve">19</w:t>
      </w:r>
      <w:r w:rsidDel="00000000" w:rsidR="00000000" w:rsidRPr="00000000">
        <w:rPr>
          <w:rFonts w:ascii="Google Sans Text" w:cs="Google Sans Text" w:eastAsia="Google Sans Text" w:hAnsi="Google Sans Text"/>
          <w:i w:val="0"/>
          <w:color w:val="1b1c1d"/>
          <w:sz w:val="24"/>
          <w:szCs w:val="24"/>
          <w:rtl w:val="0"/>
        </w:rPr>
        <w:t xml:space="preserve">의 연구 결과와 일치함을 언급합니다. 만약 결과가 다르다면, 그 이유를 추론해야 합니다. 예를 들어, "선행 연구와 달리 본 연구에서 더 강한 성장 억제가 관찰된 것은, 40°C 배양 조건으로 인한 열 스트레스가 사카린의 화학적 스트레스와 상승적으로 작용했을 가능성을 시사한다"고 기술할 수 있습니다.</w:t>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한계를 강점으로 전환하기:</w:t>
      </w:r>
      <w:r w:rsidDel="00000000" w:rsidR="00000000" w:rsidRPr="00000000">
        <w:rPr>
          <w:rFonts w:ascii="Google Sans Text" w:cs="Google Sans Text" w:eastAsia="Google Sans Text" w:hAnsi="Google Sans Text"/>
          <w:i w:val="0"/>
          <w:color w:val="1b1c1d"/>
          <w:sz w:val="24"/>
          <w:szCs w:val="24"/>
          <w:rtl w:val="0"/>
        </w:rPr>
        <w:t xml:space="preserve"> 40°C 배양 온도와 간헐적 노출 프로토콜을 연구의 '실수'나 '결함'이 아닌, 독특한 조건으로 제시합니다. 이러한 조건들이 결과에 어떤 영향을 미쳤을지에 대해 논의하고, 이것이 오히려 새로운 연구 질문을 제기하는 계기가 될 수 있음을 강조합니다.</w:t>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향후 연구 방향 제시:</w:t>
      </w:r>
      <w:r w:rsidDel="00000000" w:rsidR="00000000" w:rsidRPr="00000000">
        <w:rPr>
          <w:rFonts w:ascii="Google Sans Text" w:cs="Google Sans Text" w:eastAsia="Google Sans Text" w:hAnsi="Google Sans Text"/>
          <w:i w:val="0"/>
          <w:color w:val="1b1c1d"/>
          <w:sz w:val="24"/>
          <w:szCs w:val="24"/>
          <w:rtl w:val="0"/>
        </w:rPr>
        <w:t xml:space="preserve"> 훌륭한 연구는 새로운 질문으로 이어집니다. 후속 연구를 제안하며 과학적 사고의 깊이를 보여줍니다. "향후 연구에서는 열 스트레스와 화학적 스트레스의 효과를 분리하여 분석하기 위해 최적 온도인 37°C에서 동일한 실험을 반복할 필요가 있다. 또한, 내성을 획득한 균주의 전체 전사체 분석(RNA-Seq)을 수행한다면, 내성 반응에 관여하는 모든 유전자를 편향 없이 탐색할 수 있을 것이다."</w:t>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결론:</w:t>
      </w:r>
      <w:r w:rsidDel="00000000" w:rsidR="00000000" w:rsidRPr="00000000">
        <w:rPr>
          <w:rFonts w:ascii="Google Sans Text" w:cs="Google Sans Text" w:eastAsia="Google Sans Text" w:hAnsi="Google Sans Text"/>
          <w:i w:val="0"/>
          <w:color w:val="1b1c1d"/>
          <w:sz w:val="24"/>
          <w:szCs w:val="24"/>
          <w:rtl w:val="0"/>
        </w:rPr>
        <w:t xml:space="preserve"> 본 연구의 핵심적인 발견과, 흔한 식품 첨가물과 장내 미생물 간의 복잡한 상호작용을 이해하는 데 있어 이 연구가 갖는 잠재적 중요성을 요약하며 보고서를 마무리합니다.</w:t>
      </w:r>
    </w:p>
    <w:p w:rsidR="00000000" w:rsidDel="00000000" w:rsidP="00000000" w:rsidRDefault="00000000" w:rsidRPr="00000000" w14:paraId="000000F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Lactobacillus acidophilus - Wikipedia, 8월 13, 2025에 액세스, </w:t>
      </w:r>
      <w:hyperlink r:id="rId6">
        <w:r w:rsidDel="00000000" w:rsidR="00000000" w:rsidRPr="00000000">
          <w:rPr>
            <w:rFonts w:ascii="Google Sans" w:cs="Google Sans" w:eastAsia="Google Sans" w:hAnsi="Google Sans"/>
            <w:color w:val="0000ee"/>
            <w:sz w:val="24"/>
            <w:szCs w:val="24"/>
            <w:u w:val="single"/>
            <w:rtl w:val="0"/>
          </w:rPr>
          <w:t xml:space="preserve">https://en.wikipedia.org/wiki/Lactobacillus_acidophilus</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pmc.ncbi.nlm.nih.gov, 8월 13, 2025에 액세스, </w:t>
      </w:r>
      <w:hyperlink r:id="rId7">
        <w:r w:rsidDel="00000000" w:rsidR="00000000" w:rsidRPr="00000000">
          <w:rPr>
            <w:rFonts w:ascii="Google Sans" w:cs="Google Sans" w:eastAsia="Google Sans" w:hAnsi="Google Sans"/>
            <w:color w:val="0000ee"/>
            <w:sz w:val="24"/>
            <w:szCs w:val="24"/>
            <w:u w:val="single"/>
            <w:rtl w:val="0"/>
          </w:rPr>
          <w:t xml:space="preserve">https://pmc.ncbi.nlm.nih.gov/articles/PMC8006063/#:~:text=Growth%20Conditions,therefore%20grow%20under%20anaerobic%20conditions.</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ATCC Bacteriology Culture Guide, 8월 13, 2025에 액세스, </w:t>
      </w:r>
      <w:hyperlink r:id="rId8">
        <w:r w:rsidDel="00000000" w:rsidR="00000000" w:rsidRPr="00000000">
          <w:rPr>
            <w:rFonts w:ascii="Google Sans" w:cs="Google Sans" w:eastAsia="Google Sans" w:hAnsi="Google Sans"/>
            <w:color w:val="0000ee"/>
            <w:sz w:val="24"/>
            <w:szCs w:val="24"/>
            <w:u w:val="single"/>
            <w:rtl w:val="0"/>
          </w:rPr>
          <w:t xml:space="preserve">https://www.atcc.org/resources/culture-guides/bacteriology-culture-guide</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Growth and Maintenance of Escherichia coli Laboratory Strains - PMC, 8월 13, 2025에 액세스,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https://pmc.ncbi.nlm.nih.gov/articles/PMC8006063/</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36연구(안동여고-이예진1).pdf</w:t>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Physicochemical Conditions on Lactic Acid Bacteria Survival in Food Products, 8월 13, 2025에 액세스, </w:t>
      </w:r>
      <w:hyperlink r:id="rId10">
        <w:r w:rsidDel="00000000" w:rsidR="00000000" w:rsidRPr="00000000">
          <w:rPr>
            <w:rFonts w:ascii="Google Sans" w:cs="Google Sans" w:eastAsia="Google Sans" w:hAnsi="Google Sans"/>
            <w:color w:val="0000ee"/>
            <w:sz w:val="24"/>
            <w:szCs w:val="24"/>
            <w:u w:val="single"/>
            <w:rtl w:val="0"/>
          </w:rPr>
          <w:t xml:space="preserve">https://www.mdpi.com/2311-5637/10/6/298</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Safety and regulation of low/no calorie sweeteners, 8월 13, 2025에 액세스, </w:t>
      </w:r>
      <w:hyperlink r:id="rId11">
        <w:r w:rsidDel="00000000" w:rsidR="00000000" w:rsidRPr="00000000">
          <w:rPr>
            <w:rFonts w:ascii="Google Sans" w:cs="Google Sans" w:eastAsia="Google Sans" w:hAnsi="Google Sans"/>
            <w:color w:val="0000ee"/>
            <w:sz w:val="24"/>
            <w:szCs w:val="24"/>
            <w:u w:val="single"/>
            <w:rtl w:val="0"/>
          </w:rPr>
          <w:t xml:space="preserve">https://www.sweeteners.org/wp-content/uploads/2024/06/2024_isa_booklet_dynamic_a4-en_chapter2.pdf</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High-Intensity Sweeteners - FDA, 8월 13, 2025에 액세스, </w:t>
      </w:r>
      <w:hyperlink r:id="rId12">
        <w:r w:rsidDel="00000000" w:rsidR="00000000" w:rsidRPr="00000000">
          <w:rPr>
            <w:rFonts w:ascii="Google Sans" w:cs="Google Sans" w:eastAsia="Google Sans" w:hAnsi="Google Sans"/>
            <w:color w:val="0000ee"/>
            <w:sz w:val="24"/>
            <w:szCs w:val="24"/>
            <w:u w:val="single"/>
            <w:rtl w:val="0"/>
          </w:rPr>
          <w:t xml:space="preserve">https://www.fda.gov/food/food-additives-petitions/high-intensity-sweeteners</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Regulatory Safety Assessments of the Use of Low-Calorie Sweeteners - IAFNS, 8월 13, 2025에 액세스, </w:t>
      </w:r>
      <w:hyperlink r:id="rId13">
        <w:r w:rsidDel="00000000" w:rsidR="00000000" w:rsidRPr="00000000">
          <w:rPr>
            <w:rFonts w:ascii="Google Sans" w:cs="Google Sans" w:eastAsia="Google Sans" w:hAnsi="Google Sans"/>
            <w:color w:val="0000ee"/>
            <w:sz w:val="24"/>
            <w:szCs w:val="24"/>
            <w:u w:val="single"/>
            <w:rtl w:val="0"/>
          </w:rPr>
          <w:t xml:space="preserve">https://iafns.org/safety-assessments-of-low-calorie-sweeteners/</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Aspartame and Other Sweeteners in Food - FDA, 8월 13, 2025에 액세스, </w:t>
      </w:r>
      <w:hyperlink r:id="rId14">
        <w:r w:rsidDel="00000000" w:rsidR="00000000" w:rsidRPr="00000000">
          <w:rPr>
            <w:rFonts w:ascii="Google Sans" w:cs="Google Sans" w:eastAsia="Google Sans" w:hAnsi="Google Sans"/>
            <w:color w:val="0000ee"/>
            <w:sz w:val="24"/>
            <w:szCs w:val="24"/>
            <w:u w:val="single"/>
            <w:rtl w:val="0"/>
          </w:rPr>
          <w:t xml:space="preserve">https://www.fda.gov/food/food-additives-petitions/aspartame-and-other-sweeteners-food</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of acceptable daily intake (ADI) as a health-based benchmark in nutrition research studies that consider the safety of low-calorie sweeteners (LCS): a systematic map, 8월 13, 2025에 액세스,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https://pmc.ncbi.nlm.nih.gov/articles/PMC8138992/</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Sodium Saccharin on the Growth of Escherichia coli, Proteus, Pseudomonas aeruginosa, Staphylococcus epidermidis, S, 8월 13, 2025에 액세스, </w:t>
      </w:r>
      <w:hyperlink r:id="rId16">
        <w:r w:rsidDel="00000000" w:rsidR="00000000" w:rsidRPr="00000000">
          <w:rPr>
            <w:rFonts w:ascii="Google Sans" w:cs="Google Sans" w:eastAsia="Google Sans" w:hAnsi="Google Sans"/>
            <w:color w:val="0000ee"/>
            <w:sz w:val="24"/>
            <w:szCs w:val="24"/>
            <w:u w:val="single"/>
            <w:rtl w:val="0"/>
          </w:rPr>
          <w:t xml:space="preserve">https://tmc.dergisi.org/pdf/pdf_TMC_171.pdf</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Sweeteners Negatively Regulate Pathogenic Characteristics of Two Model Gut Bacteria, E. coli and E. faecalis, 8월 13, 2025에 액세스,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https://pmc.ncbi.nlm.nih.gov/articles/PMC8156656/</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Artificial Sweeteners on the Human Body and Microbiome - Encompass - Eastern Kentucky University, 8월 13, 2025에 액세스, </w:t>
      </w:r>
      <w:hyperlink r:id="rId18">
        <w:r w:rsidDel="00000000" w:rsidR="00000000" w:rsidRPr="00000000">
          <w:rPr>
            <w:rFonts w:ascii="Google Sans" w:cs="Google Sans" w:eastAsia="Google Sans" w:hAnsi="Google Sans"/>
            <w:color w:val="0000ee"/>
            <w:sz w:val="24"/>
            <w:szCs w:val="24"/>
            <w:u w:val="single"/>
            <w:rtl w:val="0"/>
          </w:rPr>
          <w:t xml:space="preserve">https://encompass.eku.edu/cgi/viewcontent.cgi?article=2017&amp;context=honors_theses</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sweeteners inhibit multidrug‐resistant pathogen growth and potentiate antibiotic activity | EMBO Molecular Medicine, 8월 13, 2025에 액세스, </w:t>
      </w:r>
      <w:hyperlink r:id="rId19">
        <w:r w:rsidDel="00000000" w:rsidR="00000000" w:rsidRPr="00000000">
          <w:rPr>
            <w:rFonts w:ascii="Google Sans" w:cs="Google Sans" w:eastAsia="Google Sans" w:hAnsi="Google Sans"/>
            <w:color w:val="0000ee"/>
            <w:sz w:val="24"/>
            <w:szCs w:val="24"/>
            <w:u w:val="single"/>
            <w:rtl w:val="0"/>
          </w:rPr>
          <w:t xml:space="preserve">https://www.embopress.org/doi/abs/10.15252/emmm.202216397</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artificial sweetener acesulfame potassium affects the gut ..., 8월 13, 2025에 액세스, </w:t>
      </w:r>
      <w:hyperlink r:id="rId20">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https://journals.plos.org/plosone/article?id=10.1371/journal.pone.0178426</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Growth of lactic acid bacteria in the presence of sweeteners and an emulsifier, 8월 13, 2025에 액세스,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https://www.researchgate.net/publication/315664928_Growth_of_lactic_acid_bacteria_in_the_presence_of_sweeteners_and_an_emulsifier</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Saccharin disrupts bacterial cell envelope stability and interferes with DNA replication dynamics | EMBO Molecular Medicine, 8월 13, 2025에 액세스, </w:t>
      </w:r>
      <w:hyperlink r:id="rId22">
        <w:r w:rsidDel="00000000" w:rsidR="00000000" w:rsidRPr="00000000">
          <w:rPr>
            <w:rFonts w:ascii="Google Sans" w:cs="Google Sans" w:eastAsia="Google Sans" w:hAnsi="Google Sans"/>
            <w:color w:val="0000ee"/>
            <w:sz w:val="24"/>
            <w:szCs w:val="24"/>
            <w:u w:val="single"/>
            <w:rtl w:val="0"/>
          </w:rPr>
          <w:t xml:space="preserve">https://www.embopress.org/doi/10.1038/s44321-025-00219-1</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Sweetener saccharin revives old antibiotics by breaking bacterial defences - News-Medical, 8월 13, 2025에 액세스, </w:t>
      </w:r>
      <w:hyperlink r:id="rId23">
        <w:r w:rsidDel="00000000" w:rsidR="00000000" w:rsidRPr="00000000">
          <w:rPr>
            <w:rFonts w:ascii="Google Sans" w:cs="Google Sans" w:eastAsia="Google Sans" w:hAnsi="Google Sans"/>
            <w:color w:val="0000ee"/>
            <w:sz w:val="24"/>
            <w:szCs w:val="24"/>
            <w:u w:val="single"/>
            <w:rtl w:val="0"/>
          </w:rPr>
          <w:t xml:space="preserve">https://www.news-medical.net/news/20250403/Sweetener-saccharin-revives-old-antibiotics-by-breaking-bacterial-defences.aspx</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Saccharin disrupts bacterial cell envelope stability and interferes with DNA replication dynamics | EMBO Molecular Medicine, 8월 13, 2025에 액세스, </w:t>
      </w:r>
      <w:hyperlink r:id="rId24">
        <w:r w:rsidDel="00000000" w:rsidR="00000000" w:rsidRPr="00000000">
          <w:rPr>
            <w:rFonts w:ascii="Google Sans" w:cs="Google Sans" w:eastAsia="Google Sans" w:hAnsi="Google Sans"/>
            <w:color w:val="0000ee"/>
            <w:sz w:val="24"/>
            <w:szCs w:val="24"/>
            <w:u w:val="single"/>
            <w:rtl w:val="0"/>
          </w:rPr>
          <w:t xml:space="preserve">https://www.embopress.org/doi/abs/10.1038/s44321-025-00219-1</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Saccharin disrupts bacterial cell envelope stability and interferes with DNA replication dynamics - PMC - PubMed Central, 8월 13, 2025에 액세스,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https://pmc.ncbi.nlm.nih.gov/articles/PMC12081710/</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Saccharin disrupts bacterial cell envelope stability and interferes with DNA replication dynamics - Nottingham Repository, 8월 13, 2025에 액세스, </w:t>
      </w:r>
      <w:hyperlink r:id="rId26">
        <w:r w:rsidDel="00000000" w:rsidR="00000000" w:rsidRPr="00000000">
          <w:rPr>
            <w:rFonts w:ascii="Google Sans" w:cs="Google Sans" w:eastAsia="Google Sans" w:hAnsi="Google Sans"/>
            <w:color w:val="0000ee"/>
            <w:sz w:val="24"/>
            <w:szCs w:val="24"/>
            <w:u w:val="single"/>
            <w:rtl w:val="0"/>
          </w:rPr>
          <w:t xml:space="preserve">https://nottingham-repository.worktribe.com/output/47354334/saccharin-disrupts-bacterial-cell-envelope-stability-and-interferes-with-dna-replication-dynamics</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Saccharin disrupts bacterial cell envelope stability and interferes with DNA replication dynamics - DOAJ, 8월 13, 2025에 액세스, </w:t>
      </w:r>
      <w:hyperlink r:id="rId27">
        <w:r w:rsidDel="00000000" w:rsidR="00000000" w:rsidRPr="00000000">
          <w:rPr>
            <w:rFonts w:ascii="Google Sans" w:cs="Google Sans" w:eastAsia="Google Sans" w:hAnsi="Google Sans"/>
            <w:color w:val="0000ee"/>
            <w:sz w:val="24"/>
            <w:szCs w:val="24"/>
            <w:u w:val="single"/>
            <w:rtl w:val="0"/>
          </w:rPr>
          <w:t xml:space="preserve">https://doaj.org/article/9f75341a1ab4449c9c3d7f2a4da69bc2</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Saccharin disrupts bacterial cell envelope stability and interferes with DNA replication dynamics - University of Birmingham's Research Portal, 8월 13, 2025에 액세스, </w:t>
      </w:r>
      <w:hyperlink r:id="rId28">
        <w:r w:rsidDel="00000000" w:rsidR="00000000" w:rsidRPr="00000000">
          <w:rPr>
            <w:rFonts w:ascii="Google Sans" w:cs="Google Sans" w:eastAsia="Google Sans" w:hAnsi="Google Sans"/>
            <w:color w:val="0000ee"/>
            <w:sz w:val="24"/>
            <w:szCs w:val="24"/>
            <w:u w:val="single"/>
            <w:rtl w:val="0"/>
          </w:rPr>
          <w:t xml:space="preserve">https://research.birmingham.ac.uk/en/publications/saccharin-disrupts-bacterial-cell-envelope-stability-and-interfer</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Bacterial Growth - Biology LibreTexts, 8월 13, 2025에 액세스, </w:t>
      </w:r>
      <w:hyperlink r:id="rId29">
        <w:r w:rsidDel="00000000" w:rsidR="00000000" w:rsidRPr="00000000">
          <w:rPr>
            <w:rFonts w:ascii="Google Sans" w:cs="Google Sans" w:eastAsia="Google Sans" w:hAnsi="Google Sans"/>
            <w:color w:val="0000ee"/>
            <w:sz w:val="24"/>
            <w:szCs w:val="24"/>
            <w:u w:val="single"/>
            <w:rtl w:val="0"/>
          </w:rPr>
          <w:t xml:space="preserve">https://bio.libretexts.org/Bookshelves/Microbiology/Introductory_Bacteriology_Lab_Manual_(Turnbull)/01%3A_Labs/1.03%3A_Bacterial_Growth</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Bacterial Growth Curves: Analysis through OD₆₀₀ measurements - Thermo Fisher Scientific, 8월 13, 2025에 액세스, </w:t>
      </w:r>
      <w:hyperlink r:id="rId30">
        <w:r w:rsidDel="00000000" w:rsidR="00000000" w:rsidRPr="00000000">
          <w:rPr>
            <w:rFonts w:ascii="Google Sans" w:cs="Google Sans" w:eastAsia="Google Sans" w:hAnsi="Google Sans"/>
            <w:color w:val="0000ee"/>
            <w:sz w:val="24"/>
            <w:szCs w:val="24"/>
            <w:u w:val="single"/>
            <w:rtl w:val="0"/>
          </w:rPr>
          <w:t xml:space="preserve">https://assets.thermofisher.com/TFS-Assets/CAD/Flyers/genesys-od600-measurements-lesson-plan-FL64716.pdf</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byonoy.com, 8월 13, 2025에 액세스, </w:t>
      </w:r>
      <w:hyperlink r:id="rId31">
        <w:r w:rsidDel="00000000" w:rsidR="00000000" w:rsidRPr="00000000">
          <w:rPr>
            <w:rFonts w:ascii="Google Sans" w:cs="Google Sans" w:eastAsia="Google Sans" w:hAnsi="Google Sans"/>
            <w:color w:val="0000ee"/>
            <w:sz w:val="24"/>
            <w:szCs w:val="24"/>
            <w:u w:val="single"/>
            <w:rtl w:val="0"/>
          </w:rPr>
          <w:t xml:space="preserve">https://byonoy.com/journal/od600-4facts-4tips-bacterial-culture-growth/#:~:text=Fact%204%3A%20How%20to%20perform%20OD600%20measurements&amp;text=A%20sample%20(bacterial%20culture)%20is,is%20detected%2C%20providing%20a%20readout.</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OD600 Measurements | Technical Note 168 - DeNovix, 8월 13, 2025에 액세스, </w:t>
      </w:r>
      <w:hyperlink r:id="rId32">
        <w:r w:rsidDel="00000000" w:rsidR="00000000" w:rsidRPr="00000000">
          <w:rPr>
            <w:rFonts w:ascii="Google Sans" w:cs="Google Sans" w:eastAsia="Google Sans" w:hAnsi="Google Sans"/>
            <w:color w:val="0000ee"/>
            <w:sz w:val="24"/>
            <w:szCs w:val="24"/>
            <w:u w:val="single"/>
            <w:rtl w:val="0"/>
          </w:rPr>
          <w:t xml:space="preserve">https://www.denovix.com/tn-168-od600-measurements/</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OD600 (Cell Density, Bacterial Growth, Yeast Growth) - Implen, 8월 13, 2025에 액세스, </w:t>
      </w:r>
      <w:hyperlink r:id="rId33">
        <w:r w:rsidDel="00000000" w:rsidR="00000000" w:rsidRPr="00000000">
          <w:rPr>
            <w:rFonts w:ascii="Google Sans" w:cs="Google Sans" w:eastAsia="Google Sans" w:hAnsi="Google Sans"/>
            <w:color w:val="0000ee"/>
            <w:sz w:val="24"/>
            <w:szCs w:val="24"/>
            <w:u w:val="single"/>
            <w:rtl w:val="0"/>
          </w:rPr>
          <w:t xml:space="preserve">https://www.implen.de/od600-diluphotometer/od600/</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OD600 Measurement: A Key Technique in the Microbiology Laboratory - Blue-Ray Biotech, 8월 13, 2025에 액세스, </w:t>
      </w:r>
      <w:hyperlink r:id="rId34">
        <w:r w:rsidDel="00000000" w:rsidR="00000000" w:rsidRPr="00000000">
          <w:rPr>
            <w:rFonts w:ascii="Google Sans" w:cs="Google Sans" w:eastAsia="Google Sans" w:hAnsi="Google Sans"/>
            <w:color w:val="0000ee"/>
            <w:sz w:val="24"/>
            <w:szCs w:val="24"/>
            <w:u w:val="single"/>
            <w:rtl w:val="0"/>
          </w:rPr>
          <w:t xml:space="preserve">https://www.blue-raybio.com/en/resource/detail/OD600-Measurement-A-Key-Technique-in-the-Microbiology-Laboratory</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OD600 Measurement: 4 Facts and Tips to Know for Bacterial Culture Growth - Byonoy, 8월 13, 2025에 액세스, </w:t>
      </w:r>
      <w:hyperlink r:id="rId35">
        <w:r w:rsidDel="00000000" w:rsidR="00000000" w:rsidRPr="00000000">
          <w:rPr>
            <w:rFonts w:ascii="Google Sans" w:cs="Google Sans" w:eastAsia="Google Sans" w:hAnsi="Google Sans"/>
            <w:color w:val="0000ee"/>
            <w:sz w:val="24"/>
            <w:szCs w:val="24"/>
            <w:u w:val="single"/>
            <w:rtl w:val="0"/>
          </w:rPr>
          <w:t xml:space="preserve">https://byonoy.com/journal/od600-4facts-4tips-bacterial-culture-growth/</w:t>
        </w:r>
      </w:hyperlink>
      <w:r w:rsidDel="00000000" w:rsidR="00000000" w:rsidRPr="00000000">
        <w:rPr>
          <w:rtl w:val="0"/>
        </w:rPr>
      </w:r>
    </w:p>
    <w:p w:rsidR="00000000" w:rsidDel="00000000" w:rsidP="00000000" w:rsidRDefault="00000000" w:rsidRPr="00000000" w14:paraId="000001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Your Bacterial Culture Still Growing? A Primer on OD 600 Measurements - Bitesize Bio, 8월 13, 2025에 액세스, </w:t>
      </w:r>
      <w:hyperlink r:id="rId36">
        <w:r w:rsidDel="00000000" w:rsidR="00000000" w:rsidRPr="00000000">
          <w:rPr>
            <w:rFonts w:ascii="Google Sans" w:cs="Google Sans" w:eastAsia="Google Sans" w:hAnsi="Google Sans"/>
            <w:color w:val="0000ee"/>
            <w:sz w:val="24"/>
            <w:szCs w:val="24"/>
            <w:u w:val="single"/>
            <w:rtl w:val="0"/>
          </w:rPr>
          <w:t xml:space="preserve">https://bitesizebio.com/41100/is-your-bacterial-culture-still-growing/</w:t>
        </w:r>
      </w:hyperlink>
      <w:r w:rsidDel="00000000" w:rsidR="00000000" w:rsidRPr="00000000">
        <w:rPr>
          <w:rtl w:val="0"/>
        </w:rPr>
      </w:r>
    </w:p>
    <w:p w:rsidR="00000000" w:rsidDel="00000000" w:rsidP="00000000" w:rsidRDefault="00000000" w:rsidRPr="00000000" w14:paraId="000001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calculate Bacterial growth rate from OD? - ResearchGate, 8월 13, 2025에 액세스, </w:t>
      </w:r>
      <w:hyperlink r:id="rId37">
        <w:r w:rsidDel="00000000" w:rsidR="00000000" w:rsidRPr="00000000">
          <w:rPr>
            <w:rFonts w:ascii="Google Sans" w:cs="Google Sans" w:eastAsia="Google Sans" w:hAnsi="Google Sans"/>
            <w:color w:val="0000ee"/>
            <w:sz w:val="24"/>
            <w:szCs w:val="24"/>
            <w:u w:val="single"/>
            <w:rtl w:val="0"/>
          </w:rPr>
          <w:t xml:space="preserve">https://www.researchgate.net/post/How_to_calculate_Bacterial_growth_rate_from_OD</w:t>
        </w:r>
      </w:hyperlink>
      <w:r w:rsidDel="00000000" w:rsidR="00000000" w:rsidRPr="00000000">
        <w:rPr>
          <w:rtl w:val="0"/>
        </w:rPr>
      </w:r>
    </w:p>
    <w:p w:rsidR="00000000" w:rsidDel="00000000" w:rsidP="00000000" w:rsidRDefault="00000000" w:rsidRPr="00000000" w14:paraId="000001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 microbial growth using the „OD600“ | BMG LABTECH, 8월 13, 2025에 액세스, </w:t>
      </w:r>
      <w:hyperlink r:id="rId38">
        <w:r w:rsidDel="00000000" w:rsidR="00000000" w:rsidRPr="00000000">
          <w:rPr>
            <w:rFonts w:ascii="Google Sans" w:cs="Google Sans" w:eastAsia="Google Sans" w:hAnsi="Google Sans"/>
            <w:color w:val="0000ee"/>
            <w:sz w:val="24"/>
            <w:szCs w:val="24"/>
            <w:u w:val="single"/>
            <w:rtl w:val="0"/>
          </w:rPr>
          <w:t xml:space="preserve">https://www.bmglabtech.com/en/blog/measure-microbial-growth-using-the-od600/</w:t>
        </w:r>
      </w:hyperlink>
      <w:r w:rsidDel="00000000" w:rsidR="00000000" w:rsidRPr="00000000">
        <w:rPr>
          <w:rtl w:val="0"/>
        </w:rPr>
      </w:r>
    </w:p>
    <w:p w:rsidR="00000000" w:rsidDel="00000000" w:rsidP="00000000" w:rsidRDefault="00000000" w:rsidRPr="00000000" w14:paraId="000001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Antimicrobial Resistance (AMR) — PATRIC Documentation - SEED, 8월 13, 2025에 액세스, </w:t>
      </w:r>
      <w:hyperlink r:id="rId39">
        <w:r w:rsidDel="00000000" w:rsidR="00000000" w:rsidRPr="00000000">
          <w:rPr>
            <w:rFonts w:ascii="Google Sans" w:cs="Google Sans" w:eastAsia="Google Sans" w:hAnsi="Google Sans"/>
            <w:color w:val="0000ee"/>
            <w:sz w:val="24"/>
            <w:szCs w:val="24"/>
            <w:u w:val="single"/>
            <w:rtl w:val="0"/>
          </w:rPr>
          <w:t xml:space="preserve">https://p3.theseed.org/p3_docs//tutorial/amr/amr.html</w:t>
        </w:r>
      </w:hyperlink>
      <w:r w:rsidDel="00000000" w:rsidR="00000000" w:rsidRPr="00000000">
        <w:rPr>
          <w:rtl w:val="0"/>
        </w:rPr>
      </w:r>
    </w:p>
    <w:p w:rsidR="00000000" w:rsidDel="00000000" w:rsidP="00000000" w:rsidRDefault="00000000" w:rsidRPr="00000000" w14:paraId="000001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 BV-BRC, 8월 13, 2025에 액세스, </w:t>
      </w:r>
      <w:hyperlink r:id="rId40">
        <w:r w:rsidDel="00000000" w:rsidR="00000000" w:rsidRPr="00000000">
          <w:rPr>
            <w:rFonts w:ascii="Google Sans" w:cs="Google Sans" w:eastAsia="Google Sans" w:hAnsi="Google Sans"/>
            <w:color w:val="0000ee"/>
            <w:sz w:val="24"/>
            <w:szCs w:val="24"/>
            <w:u w:val="single"/>
            <w:rtl w:val="0"/>
          </w:rPr>
          <w:t xml:space="preserve">https://www.bv-brc.org/docs/system_documentation/data.html</w:t>
        </w:r>
      </w:hyperlink>
      <w:r w:rsidDel="00000000" w:rsidR="00000000" w:rsidRPr="00000000">
        <w:rPr>
          <w:rtl w:val="0"/>
        </w:rPr>
      </w:r>
    </w:p>
    <w:p w:rsidR="00000000" w:rsidDel="00000000" w:rsidP="00000000" w:rsidRDefault="00000000" w:rsidRPr="00000000" w14:paraId="0000011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Validating the AMRFinder Tool and Resistance Gene Database by Using Antimicrobial Resistance Genotype-Phenotype Correlations in a Collection of Isolates, 8월 13, 2025에 액세스,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https://pmc.ncbi.nlm.nih.gov/articles/PMC6811410/</w:t>
        </w:r>
      </w:hyperlink>
      <w:r w:rsidDel="00000000" w:rsidR="00000000" w:rsidRPr="00000000">
        <w:rPr>
          <w:rtl w:val="0"/>
        </w:rPr>
      </w:r>
    </w:p>
    <w:p w:rsidR="00000000" w:rsidDel="00000000" w:rsidP="00000000" w:rsidRDefault="00000000" w:rsidRPr="00000000" w14:paraId="000001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PATRIC as a unique resource for studying antimicrobial resistance - PMC, 8월 13, 2025에 액세스, </w:t>
      </w:r>
      <w:hyperlink r:id="rId42">
        <w:r w:rsidDel="00000000" w:rsidR="00000000" w:rsidRPr="00000000">
          <w:rPr>
            <w:rFonts w:ascii="Google Sans" w:cs="Google Sans" w:eastAsia="Google Sans" w:hAnsi="Google Sans"/>
            <w:color w:val="0000ee"/>
            <w:sz w:val="24"/>
            <w:szCs w:val="24"/>
            <w:u w:val="single"/>
            <w:rtl w:val="0"/>
          </w:rPr>
          <w:t xml:space="preserve">https://pmc.ncbi.nlm.nih.gov/articles/PMC6781570/</w:t>
        </w:r>
      </w:hyperlink>
      <w:r w:rsidDel="00000000" w:rsidR="00000000" w:rsidRPr="00000000">
        <w:rPr>
          <w:rtl w:val="0"/>
        </w:rPr>
      </w:r>
    </w:p>
    <w:p w:rsidR="00000000" w:rsidDel="00000000" w:rsidP="00000000" w:rsidRDefault="00000000" w:rsidRPr="00000000" w14:paraId="000001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Knowledge Base: Biocontainers: ncbi-amrfinderplus - Purdue's RCAC, 8월 13, 2025에 액세스, </w:t>
      </w:r>
      <w:hyperlink r:id="rId43">
        <w:r w:rsidDel="00000000" w:rsidR="00000000" w:rsidRPr="00000000">
          <w:rPr>
            <w:rFonts w:ascii="Google Sans" w:cs="Google Sans" w:eastAsia="Google Sans" w:hAnsi="Google Sans"/>
            <w:color w:val="0000ee"/>
            <w:sz w:val="24"/>
            <w:szCs w:val="24"/>
            <w:u w:val="single"/>
            <w:rtl w:val="0"/>
          </w:rPr>
          <w:t xml:space="preserve">https://www.rcac.purdue.edu/knowledge/biocontainers/ncbi-amrfinderplus</w:t>
        </w:r>
      </w:hyperlink>
      <w:r w:rsidDel="00000000" w:rsidR="00000000" w:rsidRPr="00000000">
        <w:rPr>
          <w:rtl w:val="0"/>
        </w:rPr>
      </w:r>
    </w:p>
    <w:p w:rsidR="00000000" w:rsidDel="00000000" w:rsidP="00000000" w:rsidRDefault="00000000" w:rsidRPr="00000000" w14:paraId="000001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AMRFinderPlus - Pathogen Detection - NCBI, 8월 13, 2025에 액세스, </w:t>
      </w:r>
      <w:hyperlink r:id="rId44">
        <w:r w:rsidDel="00000000" w:rsidR="00000000" w:rsidRPr="00000000">
          <w:rPr>
            <w:rFonts w:ascii="Google Sans" w:cs="Google Sans" w:eastAsia="Google Sans" w:hAnsi="Google Sans"/>
            <w:color w:val="0000ee"/>
            <w:sz w:val="24"/>
            <w:szCs w:val="24"/>
            <w:u w:val="single"/>
            <w:rtl w:val="0"/>
          </w:rPr>
          <w:t xml:space="preserve">https://www.ncbi.nlm.nih.gov/pathogens/antimicrobial-resistance/AMRFinder/</w:t>
        </w:r>
      </w:hyperlink>
      <w:r w:rsidDel="00000000" w:rsidR="00000000" w:rsidRPr="00000000">
        <w:rPr>
          <w:rtl w:val="0"/>
        </w:rPr>
      </w:r>
    </w:p>
    <w:p w:rsidR="00000000" w:rsidDel="00000000" w:rsidP="00000000" w:rsidRDefault="00000000" w:rsidRPr="00000000" w14:paraId="000001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NCBI AMRFinder Tool to Determine Antimicrobial Resistance Genotype-Phenotype Correlations Within a Collection of NARMS Isolates | bioRxiv, 8월 13, 2025에 액세스, </w:t>
      </w:r>
      <w:hyperlink r:id="rId45">
        <w:r w:rsidDel="00000000" w:rsidR="00000000" w:rsidRPr="00000000">
          <w:rPr>
            <w:rFonts w:ascii="Google Sans" w:cs="Google Sans" w:eastAsia="Google Sans" w:hAnsi="Google Sans"/>
            <w:color w:val="0000ee"/>
            <w:sz w:val="24"/>
            <w:szCs w:val="24"/>
            <w:u w:val="single"/>
            <w:rtl w:val="0"/>
          </w:rPr>
          <w:t xml:space="preserve">https://www.biorxiv.org/content/10.1101/550707v1</w:t>
        </w:r>
      </w:hyperlink>
      <w:r w:rsidDel="00000000" w:rsidR="00000000" w:rsidRPr="00000000">
        <w:rPr>
          <w:rtl w:val="0"/>
        </w:rPr>
      </w:r>
    </w:p>
    <w:p w:rsidR="00000000" w:rsidDel="00000000" w:rsidP="00000000" w:rsidRDefault="00000000" w:rsidRPr="00000000" w14:paraId="000001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ncbi/amr: AMRFinderPlus - Identify AMR genes and point mutations, and virulence and stress resistance genes in assembled bacterial nucleotide and protein sequence. - GitHub, 8월 13, 2025에 액세스, </w:t>
      </w:r>
      <w:hyperlink r:id="rId46">
        <w:r w:rsidDel="00000000" w:rsidR="00000000" w:rsidRPr="00000000">
          <w:rPr>
            <w:rFonts w:ascii="Google Sans" w:cs="Google Sans" w:eastAsia="Google Sans" w:hAnsi="Google Sans"/>
            <w:color w:val="0000ee"/>
            <w:sz w:val="24"/>
            <w:szCs w:val="24"/>
            <w:u w:val="single"/>
            <w:rtl w:val="0"/>
          </w:rPr>
          <w:t xml:space="preserve">https://github.com/ncbi/amr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v-brc.org/docs/system_documentation/data.html" TargetMode="External"/><Relationship Id="rId20" Type="http://schemas.openxmlformats.org/officeDocument/2006/relationships/hyperlink" Target="https://journals.plos.org/plosone/article?id=10.1371/journal.pone.0178426" TargetMode="External"/><Relationship Id="rId42" Type="http://schemas.openxmlformats.org/officeDocument/2006/relationships/hyperlink" Target="https://pmc.ncbi.nlm.nih.gov/articles/PMC6781570/" TargetMode="External"/><Relationship Id="rId41" Type="http://schemas.openxmlformats.org/officeDocument/2006/relationships/hyperlink" Target="https://pmc.ncbi.nlm.nih.gov/articles/PMC6811410/" TargetMode="External"/><Relationship Id="rId22" Type="http://schemas.openxmlformats.org/officeDocument/2006/relationships/hyperlink" Target="https://www.embopress.org/doi/10.1038/s44321-025-00219-1" TargetMode="External"/><Relationship Id="rId44" Type="http://schemas.openxmlformats.org/officeDocument/2006/relationships/hyperlink" Target="https://www.ncbi.nlm.nih.gov/pathogens/antimicrobial-resistance/AMRFinder/" TargetMode="External"/><Relationship Id="rId21" Type="http://schemas.openxmlformats.org/officeDocument/2006/relationships/hyperlink" Target="https://www.researchgate.net/publication/315664928_Growth_of_lactic_acid_bacteria_in_the_presence_of_sweeteners_and_an_emulsifier" TargetMode="External"/><Relationship Id="rId43" Type="http://schemas.openxmlformats.org/officeDocument/2006/relationships/hyperlink" Target="https://www.rcac.purdue.edu/knowledge/biocontainers/ncbi-amrfinderplus" TargetMode="External"/><Relationship Id="rId24" Type="http://schemas.openxmlformats.org/officeDocument/2006/relationships/hyperlink" Target="https://www.embopress.org/doi/abs/10.1038/s44321-025-00219-1" TargetMode="External"/><Relationship Id="rId46" Type="http://schemas.openxmlformats.org/officeDocument/2006/relationships/hyperlink" Target="https://github.com/ncbi/amr" TargetMode="External"/><Relationship Id="rId23" Type="http://schemas.openxmlformats.org/officeDocument/2006/relationships/hyperlink" Target="https://www.news-medical.net/news/20250403/Sweetener-saccharin-revives-old-antibiotics-by-breaking-bacterial-defences.aspx" TargetMode="External"/><Relationship Id="rId45" Type="http://schemas.openxmlformats.org/officeDocument/2006/relationships/hyperlink" Target="https://www.biorxiv.org/content/10.1101/550707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8006063/" TargetMode="External"/><Relationship Id="rId26" Type="http://schemas.openxmlformats.org/officeDocument/2006/relationships/hyperlink" Target="https://nottingham-repository.worktribe.com/output/47354334/saccharin-disrupts-bacterial-cell-envelope-stability-and-interferes-with-dna-replication-dynamics" TargetMode="External"/><Relationship Id="rId25" Type="http://schemas.openxmlformats.org/officeDocument/2006/relationships/hyperlink" Target="https://pmc.ncbi.nlm.nih.gov/articles/PMC12081710/" TargetMode="External"/><Relationship Id="rId28" Type="http://schemas.openxmlformats.org/officeDocument/2006/relationships/hyperlink" Target="https://research.birmingham.ac.uk/en/publications/saccharin-disrupts-bacterial-cell-envelope-stability-and-interfer" TargetMode="External"/><Relationship Id="rId27" Type="http://schemas.openxmlformats.org/officeDocument/2006/relationships/hyperlink" Target="https://doaj.org/article/9f75341a1ab4449c9c3d7f2a4da69bc2" TargetMode="External"/><Relationship Id="rId5" Type="http://schemas.openxmlformats.org/officeDocument/2006/relationships/styles" Target="styles.xml"/><Relationship Id="rId6" Type="http://schemas.openxmlformats.org/officeDocument/2006/relationships/hyperlink" Target="https://en.wikipedia.org/wiki/Lactobacillus_acidophilus" TargetMode="External"/><Relationship Id="rId29" Type="http://schemas.openxmlformats.org/officeDocument/2006/relationships/hyperlink" Target="https://bio.libretexts.org/Bookshelves/Microbiology/Introductory_Bacteriology_Lab_Manual_(Turnbull)/01%3A_Labs/1.03%3A_Bacterial_Growth" TargetMode="External"/><Relationship Id="rId7" Type="http://schemas.openxmlformats.org/officeDocument/2006/relationships/hyperlink" Target="https://pmc.ncbi.nlm.nih.gov/articles/PMC8006063/#:~:text=Growth%20Conditions,therefore%20grow%20under%20anaerobic%20conditions." TargetMode="External"/><Relationship Id="rId8" Type="http://schemas.openxmlformats.org/officeDocument/2006/relationships/hyperlink" Target="https://www.atcc.org/resources/culture-guides/bacteriology-culture-guide" TargetMode="External"/><Relationship Id="rId31" Type="http://schemas.openxmlformats.org/officeDocument/2006/relationships/hyperlink" Target="https://byonoy.com/journal/od600-4facts-4tips-bacterial-culture-growth/#:~:text=Fact%204%3A%20How%20to%20perform%20OD600%20measurements&amp;text=A%20sample%20(bacterial%20culture)%20is,is%20detected%2C%20providing%20a%20readout." TargetMode="External"/><Relationship Id="rId30" Type="http://schemas.openxmlformats.org/officeDocument/2006/relationships/hyperlink" Target="https://assets.thermofisher.com/TFS-Assets/CAD/Flyers/genesys-od600-measurements-lesson-plan-FL64716.pdf" TargetMode="External"/><Relationship Id="rId11" Type="http://schemas.openxmlformats.org/officeDocument/2006/relationships/hyperlink" Target="https://www.sweeteners.org/wp-content/uploads/2024/06/2024_isa_booklet_dynamic_a4-en_chapter2.pdf" TargetMode="External"/><Relationship Id="rId33" Type="http://schemas.openxmlformats.org/officeDocument/2006/relationships/hyperlink" Target="https://www.implen.de/od600-diluphotometer/od600/" TargetMode="External"/><Relationship Id="rId10" Type="http://schemas.openxmlformats.org/officeDocument/2006/relationships/hyperlink" Target="https://www.mdpi.com/2311-5637/10/6/298" TargetMode="External"/><Relationship Id="rId32" Type="http://schemas.openxmlformats.org/officeDocument/2006/relationships/hyperlink" Target="https://www.denovix.com/tn-168-od600-measurements/" TargetMode="External"/><Relationship Id="rId13" Type="http://schemas.openxmlformats.org/officeDocument/2006/relationships/hyperlink" Target="https://iafns.org/safety-assessments-of-low-calorie-sweeteners/" TargetMode="External"/><Relationship Id="rId35" Type="http://schemas.openxmlformats.org/officeDocument/2006/relationships/hyperlink" Target="https://byonoy.com/journal/od600-4facts-4tips-bacterial-culture-growth/" TargetMode="External"/><Relationship Id="rId12" Type="http://schemas.openxmlformats.org/officeDocument/2006/relationships/hyperlink" Target="https://www.fda.gov/food/food-additives-petitions/high-intensity-sweeteners" TargetMode="External"/><Relationship Id="rId34" Type="http://schemas.openxmlformats.org/officeDocument/2006/relationships/hyperlink" Target="https://www.blue-raybio.com/en/resource/detail/OD600-Measurement-A-Key-Technique-in-the-Microbiology-Laboratory" TargetMode="External"/><Relationship Id="rId15" Type="http://schemas.openxmlformats.org/officeDocument/2006/relationships/hyperlink" Target="https://pmc.ncbi.nlm.nih.gov/articles/PMC8138992/" TargetMode="External"/><Relationship Id="rId37" Type="http://schemas.openxmlformats.org/officeDocument/2006/relationships/hyperlink" Target="https://www.researchgate.net/post/How_to_calculate_Bacterial_growth_rate_from_OD" TargetMode="External"/><Relationship Id="rId14" Type="http://schemas.openxmlformats.org/officeDocument/2006/relationships/hyperlink" Target="https://www.fda.gov/food/food-additives-petitions/aspartame-and-other-sweeteners-food" TargetMode="External"/><Relationship Id="rId36" Type="http://schemas.openxmlformats.org/officeDocument/2006/relationships/hyperlink" Target="https://bitesizebio.com/41100/is-your-bacterial-culture-still-growing/" TargetMode="External"/><Relationship Id="rId17" Type="http://schemas.openxmlformats.org/officeDocument/2006/relationships/hyperlink" Target="https://pmc.ncbi.nlm.nih.gov/articles/PMC8156656/" TargetMode="External"/><Relationship Id="rId39" Type="http://schemas.openxmlformats.org/officeDocument/2006/relationships/hyperlink" Target="https://p3.theseed.org/p3_docs//tutorial/amr/amr.html" TargetMode="External"/><Relationship Id="rId16" Type="http://schemas.openxmlformats.org/officeDocument/2006/relationships/hyperlink" Target="https://tmc.dergisi.org/pdf/pdf_TMC_171.pdf" TargetMode="External"/><Relationship Id="rId38" Type="http://schemas.openxmlformats.org/officeDocument/2006/relationships/hyperlink" Target="https://www.bmglabtech.com/en/blog/measure-microbial-growth-using-the-od600/" TargetMode="External"/><Relationship Id="rId19" Type="http://schemas.openxmlformats.org/officeDocument/2006/relationships/hyperlink" Target="https://www.embopress.org/doi/abs/10.15252/emmm.202216397" TargetMode="External"/><Relationship Id="rId18" Type="http://schemas.openxmlformats.org/officeDocument/2006/relationships/hyperlink" Target="https://encompass.eku.edu/cgi/viewcontent.cgi?article=2017&amp;context=honors_the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