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cs="Arial"/>
          <w:b/>
          <w:i w:val="0"/>
          <w:color w:val="000000"/>
          <w:sz w:val="36"/>
        </w:rPr>
        <w:t xml:space="preserve">Multi-Role Buffer Protocol</w:t>
      </w:r>
    </w:p>
    <w:p>
      <w:pPr>
        <w:spacing w:after="40"/>
        <w:jc w:val="center"/>
      </w:pPr>
      <w:r>
        <w:rPr>
          <w:rFonts w:ascii="Arial" w:hAnsi="Arial" w:cs="Arial"/>
          <w:b w:val="0"/>
          <w:i/>
          <w:color w:val="5F6368"/>
          <w:sz w:val="22"/>
        </w:rPr>
        <w:t>Batch Manufacturing Record</w:t>
      </w: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20"/>
        </w:rPr>
        <w:t xml:space="preserve"/>
      </w:r>
    </w:p>
    <w:p>
      <w:pPr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Run: Run-2026-001    Status: ACTIVE    Started:     Completed: 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Project:     Protocol Version: v2    Generated: April 1, 2026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1. General Information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5040"/>
      </w:tblGrid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Product Name / Candidate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Batch / Lot Number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Run-2026-001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Yield / Scale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SOP / Protocol Reference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 (v2)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2. Bill of Materials (BOM)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all raw materials, media, and buffers utilized in this run.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Material Description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Part / Lot Number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Required Quantity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Quantity Added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3. Equipment Log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primary equipment used to ensure traceability.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Name / Type</w:t>
            </w:r>
          </w:p>
        </w:tc>
        <w:tc>
          <w:tcPr>
            <w:tcW w:type="dxa" w:w="2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ID (Asset Tag)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Calibration Status (Valid Until)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4. Execution: Unit Operations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Execute process steps. Record actual values, operator, and verifier (if required by SOP) for each step.</w:t>
      </w:r>
    </w:p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4.1  Media Prep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Weigh Reagents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Weigh NaCl and KCl. NaCl: 8, and KCl: 0.2.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sz w:val="101600"/>
                <w:szCs w:val="101600"/>
                <w:b/>
              </w:rPr>
              <w:t xml:space="preserve">NaCl (g): </w:t>
            </w:r>
            <w:r>
              <w:rPr>
                <w:sz w:val="101600"/>
                <w:szCs w:val="101600"/>
              </w:rPr>
              <w:t xml:space="preserve">8.01</w:t>
            </w:r>
            <w:r>
              <w:t xml:space="preserve"/>
            </w:r>
          </w:p>
          <w:p>
            <w:r>
              <w:t xml:space="preserve"/>
            </w:r>
            <w:r>
              <w:rPr>
                <w:sz w:val="101600"/>
                <w:szCs w:val="101600"/>
                <w:b/>
              </w:rPr>
              <w:t xml:space="preserve">KCl (g): </w:t>
            </w:r>
            <w:r>
              <w:rPr>
                <w:sz w:val="101600"/>
                <w:szCs w:val="101600"/>
              </w:rPr>
              <w:t xml:space="preserve">0.2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Dissolve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Add to 1000 mL water and stir.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sz w:val="101600"/>
                <w:szCs w:val="101600"/>
              </w:rPr>
              <w:t xml:space="preserve">1000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4.2  QC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Measure pH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Measure and adjust pH. Target pH: 7.4.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sz w:val="101600"/>
                <w:szCs w:val="101600"/>
              </w:rPr>
              <w:t xml:space="preserve">7.38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J.W.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5. Deviations and Process Comments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Log any deviations from target parameters or SOP. Run notes and anomalies are surfaced here.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 / Status Ref.</w:t>
            </w:r>
          </w:p>
        </w:tc>
        <w:tc>
          <w:tcPr>
            <w:tcW w:type="dxa" w:w="44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Description of Deviation / Observation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Impact Assessment Required? (Y/N)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Reviewer Sign-off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ACTIVE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Observed slight turbidity after buffer prep.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Dr. Sarah Chen</w:t>
              <w:br/>
              <w:t xml:space="preserve">2026-04-01 10:35:00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ACTIVE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[ANOMALY] ANOMALY: Cell viability below threshold at 85%.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Dr. Sarah Chen</w:t>
              <w:br/>
              <w:t xml:space="preserve">2026-04-01 11:20:00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6. Final Disposition &amp; Signatures</w:t>
      </w:r>
    </w:p>
    <w:p>
      <w:pPr>
        <w:spacing w:after="120"/>
      </w:pPr>
      <w:r>
        <w:rPr>
          <w:rFonts w:ascii="Arial" w:hAnsi="Arial" w:cs="Arial"/>
          <w:b w:val="0"/>
          <w:i/>
          <w:color w:val="5F6368"/>
          <w:sz w:val="18"/>
        </w:rPr>
        <w:t>By signing below, the responsible parties certify that the material described herein was produced according to the specified process and that all deviations have been reviewed.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Wet-Ink Sign-Off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 (Print)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Operator / Engineer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Development Lead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Quality / Compliance (if applicable)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