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Multi-Role Buffer Protocol — Batch Record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Run: Preview  |  Status: </w:t>
      </w:r>
    </w:p>
    <w:p>
      <w:r>
        <w:rPr>
          <w:b w:val="0"/>
          <w:sz w:val="22"/>
        </w:rPr>
        <w:t xml:space="preserve">Started:   |  Completed: </w:t>
      </w:r>
    </w:p>
    <w:p>
      <w:r>
        <w:rPr>
          <w:b w:val="0"/>
          <w:sz w:val="22"/>
        </w:rPr>
        <w:t xml:space="preserve">Project:   |  Organization: </w:t>
      </w:r>
    </w:p>
    <w:p>
      <w:r>
        <w:rPr>
          <w:b w:val="0"/>
          <w:sz w:val="22"/>
        </w:rPr>
        <w:t xml:space="preserve">SOP Reference:  v2 (effective )</w:t>
      </w:r>
    </w:p>
    <w:p>
      <w:r>
        <w:rPr>
          <w:b/>
          <w:sz w:val="28"/>
        </w:rPr>
        <w:t>Procedure Execution</w:t>
      </w:r>
    </w:p>
    <w:p>
      <w:r>
        <w:rPr>
          <w:b w:val="0"/>
          <w:sz w:val="22"/>
        </w:rPr>
        <w:t xml:space="preserve"/>
      </w:r>
      <w:r>
        <w:rPr>
          <w:sz w:val="177800"/>
          <w:szCs w:val="177800"/>
          <w:b/>
        </w:rPr>
        <w:t xml:space="preserve">Media Prep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Weigh Reagents</w:t>
            </w:r>
          </w:p>
        </w:tc>
        <w:tc>
          <w:tcPr>
            <w:tcW w:type="dxa" w:w="1108"/>
          </w:tcPr>
          <w:p>
            <w:r>
              <w:t xml:space="preserve">Weigh NaCl and KCl. NaCl: 8, and KCl: 0.2.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NaCl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  <w:p>
            <w:r>
              <w:t xml:space="preserve"/>
            </w:r>
            <w:r>
              <w:rPr>
                <w:sz w:val="101600"/>
                <w:szCs w:val="101600"/>
                <w:b/>
              </w:rPr>
              <w:t xml:space="preserve">KCl (g): </w:t>
            </w:r>
            <w:r>
              <w:rPr>
                <w:sz w:val="101600"/>
                <w:szCs w:val="101600"/>
              </w:rPr>
              <w:t xml:space="preserve"/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  <w:tr>
        <w:tc>
          <w:tcPr>
            <w:tcW w:type="dxa" w:w="1108"/>
          </w:tcPr>
          <w:p>
            <w:r>
              <w:t xml:space="preserve">Dissolve</w:t>
            </w:r>
          </w:p>
        </w:tc>
        <w:tc>
          <w:tcPr>
            <w:tcW w:type="dxa" w:w="1108"/>
          </w:tcPr>
          <w:p>
            <w:r>
              <w:t xml:space="preserve">Add to 1000 mL water and stir.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 w:val="0"/>
          <w:sz w:val="22"/>
        </w:rPr>
        <w:t xml:space="preserve"/>
      </w:r>
      <w:r>
        <w:t xml:space="preserve"/>
      </w:r>
    </w:p>
    <w:p>
      <w:r>
        <w:br w:type="page"/>
      </w:r>
    </w:p>
    <w:p>
      <w:r>
        <w:t xml:space="preserve"/>
      </w:r>
      <w:r>
        <w:rPr>
          <w:sz w:val="177800"/>
          <w:szCs w:val="177800"/>
          <w:b/>
        </w:rPr>
        <w:t xml:space="preserve">QC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Measure pH</w:t>
            </w:r>
          </w:p>
        </w:tc>
        <w:tc>
          <w:tcPr>
            <w:tcW w:type="dxa" w:w="1108"/>
          </w:tcPr>
          <w:p>
            <w:r>
              <w:t xml:space="preserve">Measure and adjust pH. Target pH: 7.4.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Run: Preview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