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Buffer Preparation SOP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Number:</w:t>
            </w:r>
          </w:p>
        </w:tc>
        <w:tc>
          <w:tcPr>
            <w:tcW w:type="dxa" w:w="4320"/>
          </w:tcPr>
          <w:p>
            <w:r>
              <w:t>SOP-BP-2026-042</w:t>
            </w:r>
          </w:p>
        </w:tc>
      </w:tr>
      <w:tr>
        <w:tc>
          <w:tcPr>
            <w:tcW w:type="dxa" w:w="4320"/>
          </w:tcPr>
          <w:p>
            <w:r>
              <w:t>Effective Date:</w:t>
            </w:r>
          </w:p>
        </w:tc>
        <w:tc>
          <w:tcPr>
            <w:tcW w:type="dxa" w:w="4320"/>
          </w:tcPr>
          <w:p>
            <w:r>
              <w:t>January 15, 2026</w:t>
            </w:r>
          </w:p>
        </w:tc>
      </w:tr>
      <w:tr>
        <w:tc>
          <w:tcPr>
            <w:tcW w:type="dxa" w:w="4320"/>
          </w:tcPr>
          <w:p>
            <w:r>
              <w:t>Prepared By:</w:t>
            </w:r>
          </w:p>
        </w:tc>
        <w:tc>
          <w:tcPr>
            <w:tcW w:type="dxa" w:w="4320"/>
          </w:tcPr>
          <w:p>
            <w:r>
              <w:t>Dr. Sarah Chen</w:t>
            </w:r>
          </w:p>
        </w:tc>
      </w:tr>
      <w:tr>
        <w:tc>
          <w:tcPr>
            <w:tcW w:type="dxa" w:w="4320"/>
          </w:tcPr>
          <w:p>
            <w:r>
              <w:t>Department:</w:t>
            </w:r>
          </w:p>
        </w:tc>
        <w:tc>
          <w:tcPr>
            <w:tcW w:type="dxa" w:w="4320"/>
          </w:tcPr>
          <w:p>
            <w:r>
              <w:t>Upstream Process Development</w:t>
            </w:r>
          </w:p>
        </w:tc>
      </w:tr>
    </w:tbl>
    <w:p/>
    <w:p>
      <w:pPr>
        <w:pStyle w:val="Heading2"/>
      </w:pPr>
      <w:r>
        <w:t>1. Purpose</w:t>
      </w:r>
    </w:p>
    <w:p>
      <w:r>
        <w:t>This SOP describes the preparation of Tris-HCl buffer (50 mM, pH 7.4) for use in downstream purification steps of monoclonal antibody mAb-X production.</w:t>
      </w:r>
    </w:p>
    <w:p>
      <w:pPr>
        <w:pStyle w:val="Heading2"/>
      </w:pPr>
      <w:r>
        <w:t>2. Scope</w:t>
      </w:r>
    </w:p>
    <w:p>
      <w:r>
        <w:t>This procedure applies to all Process Development scientists and associates at Acme Therapeutics who perform buffer preparation for the AAV Campaign Q1 project.</w:t>
      </w:r>
    </w:p>
    <w:p>
      <w:pPr>
        <w:pStyle w:val="Heading2"/>
      </w:pPr>
      <w:r>
        <w:t>3. Materials and Equipment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Specification</w:t>
            </w:r>
          </w:p>
        </w:tc>
        <w:tc>
          <w:tcPr>
            <w:tcW w:type="dxa" w:w="2880"/>
          </w:tcPr>
          <w:p>
            <w:r>
              <w:t>Lot Number</w:t>
            </w:r>
          </w:p>
        </w:tc>
      </w:tr>
      <w:tr>
        <w:tc>
          <w:tcPr>
            <w:tcW w:type="dxa" w:w="2880"/>
          </w:tcPr>
          <w:p>
            <w:r>
              <w:t>Tris Base</w:t>
            </w:r>
          </w:p>
        </w:tc>
        <w:tc>
          <w:tcPr>
            <w:tcW w:type="dxa" w:w="2880"/>
          </w:tcPr>
          <w:p>
            <w:r>
              <w:t>ACS Grade, Fisher Scientific</w:t>
            </w:r>
          </w:p>
        </w:tc>
        <w:tc>
          <w:tcPr>
            <w:tcW w:type="dxa" w:w="2880"/>
          </w:tcPr>
          <w:p>
            <w:r>
              <w:t>LOT-2026-A1234</w:t>
            </w:r>
          </w:p>
        </w:tc>
      </w:tr>
      <w:tr>
        <w:tc>
          <w:tcPr>
            <w:tcW w:type="dxa" w:w="2880"/>
          </w:tcPr>
          <w:p>
            <w:r>
              <w:t>Hydrochloric Acid (1N)</w:t>
            </w:r>
          </w:p>
        </w:tc>
        <w:tc>
          <w:tcPr>
            <w:tcW w:type="dxa" w:w="2880"/>
          </w:tcPr>
          <w:p>
            <w:r>
              <w:t>Certified ACS, Fisher</w:t>
            </w:r>
          </w:p>
        </w:tc>
        <w:tc>
          <w:tcPr>
            <w:tcW w:type="dxa" w:w="2880"/>
          </w:tcPr>
          <w:p>
            <w:r>
              <w:t>LOT-2026-B5678</w:t>
            </w:r>
          </w:p>
        </w:tc>
      </w:tr>
      <w:tr>
        <w:tc>
          <w:tcPr>
            <w:tcW w:type="dxa" w:w="2880"/>
          </w:tcPr>
          <w:p>
            <w:r>
              <w:t>Purified Water</w:t>
            </w:r>
          </w:p>
        </w:tc>
        <w:tc>
          <w:tcPr>
            <w:tcW w:type="dxa" w:w="2880"/>
          </w:tcPr>
          <w:p>
            <w:r>
              <w:t>Milli-Q, &gt;18 MΩ·cm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pH Meter</w:t>
            </w:r>
          </w:p>
        </w:tc>
        <w:tc>
          <w:tcPr>
            <w:tcW w:type="dxa" w:w="2880"/>
          </w:tcPr>
          <w:p>
            <w:r>
              <w:t>Mettler Toledo SevenEasy</w:t>
            </w:r>
          </w:p>
        </w:tc>
        <w:tc>
          <w:tcPr>
            <w:tcW w:type="dxa" w:w="2880"/>
          </w:tcPr>
          <w:p>
            <w:r>
              <w:t>EQ-PH-007</w:t>
            </w:r>
          </w:p>
        </w:tc>
      </w:tr>
    </w:tbl>
    <w:p/>
    <w:p>
      <w:pPr>
        <w:pStyle w:val="Heading2"/>
      </w:pPr>
      <w:r>
        <w:t>4. Procedure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Duration (min)</w:t>
            </w:r>
          </w:p>
        </w:tc>
        <w:tc>
          <w:tcPr>
            <w:tcW w:type="dxa" w:w="1728"/>
          </w:tcPr>
          <w:p>
            <w:r>
              <w:t>Operator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Weigh 6.057 g Tris Base on analytical balance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SC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Add Tris Base to 800 mL purified water in 1L graduated cylinder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SC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Stir with magnetic stir bar until fully dissolved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SC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Adjust pH to 7.4 using 1N HCl (approx 30 mL required)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SC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Bring total volume to 1000 mL with purified water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SC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Filter through 0.22 μm membrane filter into sterile container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SC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</w:tr>
    </w:tbl>
    <w:p/>
    <w:p>
      <w:pPr>
        <w:pStyle w:val="Heading2"/>
      </w:pPr>
      <w:r>
        <w:t>5.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Final pH:</w:t>
            </w:r>
          </w:p>
        </w:tc>
        <w:tc>
          <w:tcPr>
            <w:tcW w:type="dxa" w:w="4320"/>
          </w:tcPr>
          <w:p>
            <w:r>
              <w:t>7.41</w:t>
            </w:r>
          </w:p>
        </w:tc>
      </w:tr>
      <w:tr>
        <w:tc>
          <w:tcPr>
            <w:tcW w:type="dxa" w:w="4320"/>
          </w:tcPr>
          <w:p>
            <w:r>
              <w:t>Final Volume:</w:t>
            </w:r>
          </w:p>
        </w:tc>
        <w:tc>
          <w:tcPr>
            <w:tcW w:type="dxa" w:w="4320"/>
          </w:tcPr>
          <w:p>
            <w:r>
              <w:t>1000 mL</w:t>
            </w:r>
          </w:p>
        </w:tc>
      </w:tr>
      <w:tr>
        <w:tc>
          <w:tcPr>
            <w:tcW w:type="dxa" w:w="4320"/>
          </w:tcPr>
          <w:p>
            <w:r>
              <w:t>Visual Appearance:</w:t>
            </w:r>
          </w:p>
        </w:tc>
        <w:tc>
          <w:tcPr>
            <w:tcW w:type="dxa" w:w="4320"/>
          </w:tcPr>
          <w:p>
            <w:r>
              <w:t>Clear, colorless solution</w:t>
            </w:r>
          </w:p>
        </w:tc>
      </w:tr>
      <w:tr>
        <w:tc>
          <w:tcPr>
            <w:tcW w:type="dxa" w:w="4320"/>
          </w:tcPr>
          <w:p>
            <w:r>
              <w:t>Conductivity:</w:t>
            </w:r>
          </w:p>
        </w:tc>
        <w:tc>
          <w:tcPr>
            <w:tcW w:type="dxa" w:w="4320"/>
          </w:tcPr>
          <w:p>
            <w:r>
              <w:t>5.2 mS/cm</w:t>
            </w:r>
          </w:p>
        </w:tc>
      </w:tr>
    </w:tbl>
    <w:p/>
    <w:p>
      <w:pPr>
        <w:pStyle w:val="Heading2"/>
      </w:pPr>
      <w:r>
        <w:t>6. Approval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Prepared By</w:t>
            </w:r>
          </w:p>
        </w:tc>
        <w:tc>
          <w:tcPr>
            <w:tcW w:type="dxa" w:w="2880"/>
          </w:tcPr>
          <w:p>
            <w:r>
              <w:t>Dr. Sarah Chen</w:t>
            </w:r>
          </w:p>
        </w:tc>
        <w:tc>
          <w:tcPr>
            <w:tcW w:type="dxa" w:w="2880"/>
          </w:tcPr>
          <w:p>
            <w:r>
              <w:t>2026-01-15</w:t>
            </w:r>
          </w:p>
        </w:tc>
      </w:tr>
      <w:tr>
        <w:tc>
          <w:tcPr>
            <w:tcW w:type="dxa" w:w="2880"/>
          </w:tcPr>
          <w:p>
            <w:r>
              <w:t>Reviewed By</w:t>
            </w:r>
          </w:p>
        </w:tc>
        <w:tc>
          <w:tcPr>
            <w:tcW w:type="dxa" w:w="2880"/>
          </w:tcPr>
          <w:p>
            <w:r>
              <w:t>Dr. James Park</w:t>
            </w:r>
          </w:p>
        </w:tc>
        <w:tc>
          <w:tcPr>
            <w:tcW w:type="dxa" w:w="2880"/>
          </w:tcPr>
          <w:p>
            <w:r>
              <w:t>2026-01-16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