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>See Figure 3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11:20:00  |  ACTIVE</w:t>
      </w:r>
    </w:p>
    <w:p>
      <w:pPr>
        <w:spacing w:after="160" w:before="0"/>
      </w:pPr>
      <w:r>
        <w:rPr>
          <w:color w:val="334155"/>
          <w:sz w:val="20"/>
        </w:rPr>
        <w:t xml:space="preserve">[ANOMALY] ANOMALY: Cell viability below threshold at 85%.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8"/>
        </w:rPr>
        <w:t>Figures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1: test_figure_1.png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2: test_figure_2.png</w:t>
      </w:r>
    </w:p>
    <w:p>
      <w:pPr>
        <w:spacing w:after="80" w:before="0"/>
      </w:pPr>
      <w:r>
        <w:rPr>
          <w:color w:val="334155"/>
          <w:sz w:val="2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405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figure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spacing w:after="240" w:before="0"/>
        <w:jc w:val="center"/>
      </w:pPr>
      <w:r>
        <w:rPr>
          <w:i/>
          <w:color w:val="64748B"/>
          <w:sz w:val="18"/>
        </w:rPr>
        <w:t xml:space="preserve">Figure 3: test_figure_3.png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