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Multi-Role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Run-2026-003 (With Figures)    Status: ACTIVE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v2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Batch / Lot Number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Run-2026-003 (With Figures)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Yield / Scale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 (v2)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sz w:val="101600"/>
                <w:szCs w:val="101600"/>
                <w:b/>
              </w:rPr>
              <w:t xml:space="preserve">NaCl (g): </w:t>
            </w:r>
            <w:r>
              <w:rPr>
                <w:sz w:val="101600"/>
                <w:szCs w:val="101600"/>
              </w:rPr>
              <w:t xml:space="preserve">8.01</w:t>
            </w:r>
            <w:r>
              <w:t xml:space="preserve"/>
            </w:r>
          </w:p>
          <w:p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KCl (g): </w:t>
            </w:r>
            <w:r>
              <w:rPr>
                <w:sz w:val="101600"/>
                <w:szCs w:val="101600"/>
              </w:rPr>
              <w:t xml:space="preserve">0.2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sz w:val="101600"/>
                <w:szCs w:val="101600"/>
              </w:rPr>
              <w:t xml:space="preserve">1000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sz w:val="101600"/>
                <w:szCs w:val="101600"/>
              </w:rPr>
              <w:t xml:space="preserve">7.38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J.W.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Observed slight turbidity after buffer prep.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10:35:00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[ANOMALY] ANOMALY: Cell viability below threshold at 85%.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11:20:00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br w:type="page"/>
      </w:r>
      <w:r>
        <w:rPr>
          <w:rFonts w:ascii="Arial" w:hAnsi="Arial" w:cs="Arial"/>
          <w:b/>
          <w:i w:val="0"/>
          <w:color w:val="000000"/>
          <w:sz w:val="26"/>
        </w:rPr>
        <w:t>Appendix A: Figures</w:t>
      </w:r>
    </w:p>
    <w:p>
      <w:pPr>
        <w:keepNext/>
        <w:spacing w:before="120" w:after="40"/>
        <w:jc w:val="center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spacing w:after="160"/>
        <w:jc w:val="center"/>
      </w:pPr>
      <w:r>
        <w:rPr>
          <w:rFonts w:ascii="Arial" w:hAnsi="Arial" w:cs="Arial"/>
          <w:b w:val="0"/>
          <w:i/>
          <w:color w:val="5F6368"/>
          <w:sz w:val="18"/>
        </w:rPr>
        <w:t xml:space="preserve">Figure 1: test_figure_1.png  (Weigh Reagents, uploaded 2026-04-01 10:32)</w:t>
      </w:r>
    </w:p>
    <w:p>
      <w:pPr>
        <w:keepNext/>
        <w:spacing w:before="120" w:after="40"/>
        <w:jc w:val="center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spacing w:after="160"/>
        <w:jc w:val="center"/>
      </w:pPr>
      <w:r>
        <w:rPr>
          <w:rFonts w:ascii="Arial" w:hAnsi="Arial" w:cs="Arial"/>
          <w:b w:val="0"/>
          <w:i/>
          <w:color w:val="5F6368"/>
          <w:sz w:val="18"/>
        </w:rPr>
        <w:t xml:space="preserve">Figure 2: test_figure_2.png  (Dissolve, uploaded 2026-04-01 10:46)</w:t>
      </w:r>
    </w:p>
    <w:p>
      <w:pPr>
        <w:keepNext/>
        <w:spacing w:before="120" w:after="40"/>
        <w:jc w:val="center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spacing w:after="160"/>
        <w:jc w:val="center"/>
      </w:pPr>
      <w:r>
        <w:rPr>
          <w:rFonts w:ascii="Arial" w:hAnsi="Arial" w:cs="Arial"/>
          <w:b w:val="0"/>
          <w:i/>
          <w:color w:val="5F6368"/>
          <w:sz w:val="18"/>
        </w:rPr>
        <w:t xml:space="preserve">Figure 3: test_figure_3.png  (Measure pH, uploaded 2026-04-01 11:16)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