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Arial" w:hAnsi="Arial" w:cs="Arial"/>
          <w:b w:val="0"/>
          <w:i w:val="0"/>
          <w:color w:val="5F6368"/>
          <w:sz w:val="24"/>
        </w:rPr>
        <w:t>Standard Operating Procedure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4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Document Number:</w:t>
            </w:r>
          </w:p>
        </w:tc>
        <w:tc>
          <w:tcPr>
            <w:tcW w:type="dxa" w:w="2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</w:p>
        </w:tc>
        <w:tc>
          <w:tcPr>
            <w:tcW w:type="dxa" w:w="20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Revision: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1</w:t>
            </w:r>
          </w:p>
        </w:tc>
      </w:tr>
      <w:tr>
        <w:tc>
          <w:tcPr>
            <w:tcW w:type="dxa" w:w="24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Title:</w:t>
            </w:r>
          </w:p>
        </w:tc>
        <w:tc>
          <w:tcPr>
            <w:tcW w:type="dxa" w:w="7400"/>
            <w:gridSpan w:val="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Process-Based Protocol</w:t>
            </w:r>
          </w:p>
        </w:tc>
      </w:tr>
      <w:tr>
        <w:tc>
          <w:tcPr>
            <w:tcW w:type="dxa" w:w="24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Effective Date:</w:t>
            </w:r>
          </w:p>
        </w:tc>
        <w:tc>
          <w:tcPr>
            <w:tcW w:type="dxa" w:w="7400"/>
            <w:gridSpan w:val="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</w:p>
        </w:tc>
      </w:tr>
    </w:tbl>
    <w:p>
      <w:pPr>
        <w:spacing w:after="80"/>
      </w:pPr>
    </w:p>
    <w:p>
      <w:pPr>
        <w:spacing w:after="160"/>
        <w:jc w:val="center"/>
      </w:pPr>
      <w:r>
        <w:rPr>
          <w:rFonts w:ascii="Arial" w:hAnsi="Arial" w:cs="Arial"/>
          <w:b w:val="0"/>
          <w:i w:val="0"/>
          <w:color w:val="5F6368"/>
          <w:sz w:val="18"/>
        </w:rPr>
        <w:t xml:space="preserve">    Project:     Generated: April 1, 2026</w:t>
      </w:r>
    </w:p>
    <w:p>
      <w:pPr>
        <w:keepNext/>
        <w:spacing w:before="320" w:after="120"/>
        <w:pBdr>
          <w:bottom w:val="single" w:sz="8" w:space="4" w:color="D1D5DB"/>
        </w:pBdr>
      </w:pPr>
      <w:r>
        <w:rPr>
          <w:rFonts w:ascii="Arial" w:hAnsi="Arial" w:cs="Arial"/>
          <w:b/>
          <w:i w:val="0"/>
          <w:color w:val="2C3E50"/>
          <w:sz w:val="32"/>
        </w:rPr>
        <w:t>1.0 Purpose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000000"/>
          <w:sz w:val="20"/>
        </w:rPr>
        <w:t xml:space="preserve"/>
      </w:r>
    </w:p>
    <w:p>
      <w:pPr>
        <w:keepNext/>
        <w:spacing w:before="320" w:after="120"/>
        <w:pBdr>
          <w:bottom w:val="single" w:sz="8" w:space="4" w:color="D1D5DB"/>
        </w:pBdr>
      </w:pPr>
      <w:r>
        <w:rPr>
          <w:rFonts w:ascii="Arial" w:hAnsi="Arial" w:cs="Arial"/>
          <w:b/>
          <w:i w:val="0"/>
          <w:color w:val="2C3E50"/>
          <w:sz w:val="32"/>
        </w:rPr>
        <w:t>2.0 Scope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000000"/>
          <w:sz w:val="20"/>
        </w:rPr>
        <w:t xml:space="preserve"/>
      </w:r>
    </w:p>
    <w:p>
      <w:pPr>
        <w:keepNext/>
        <w:spacing w:before="320" w:after="120"/>
        <w:pBdr>
          <w:bottom w:val="single" w:sz="8" w:space="4" w:color="D1D5DB"/>
        </w:pBdr>
      </w:pPr>
      <w:r>
        <w:rPr>
          <w:rFonts w:ascii="Arial" w:hAnsi="Arial" w:cs="Arial"/>
          <w:b/>
          <w:i w:val="0"/>
          <w:color w:val="2C3E50"/>
          <w:sz w:val="32"/>
        </w:rPr>
        <w:t xml:space="preserve">3.0 Procedure: Process-Based Protocol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8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</w:t>
            </w:r>
          </w:p>
        </w:tc>
        <w:tc>
          <w:tcPr>
            <w:tcW w:type="dxa" w:w="26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Name</w:t>
            </w:r>
          </w:p>
        </w:tc>
        <w:tc>
          <w:tcPr>
            <w:tcW w:type="dxa" w:w="48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Instruction</w:t>
            </w:r>
          </w:p>
        </w:tc>
        <w:tc>
          <w:tcPr>
            <w:tcW w:type="dxa" w:w="16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Duration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 xml:space="preserve">1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Buffer Preparation</w:t>
            </w:r>
          </w:p>
        </w:tc>
        <w:tc>
          <w:tcPr>
            <w:tcW w:type="dxa" w:w="4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Prepare 500 mL of PBS buffer.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30 min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 xml:space="preserve">2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Cell Seeding</w:t>
            </w:r>
          </w:p>
        </w:tc>
        <w:tc>
          <w:tcPr>
            <w:tcW w:type="dxa" w:w="4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Seed cells at target density. Seeding Density: 1e+06.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15 min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 xml:space="preserve">3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Incubation</w:t>
            </w:r>
          </w:p>
        </w:tc>
        <w:tc>
          <w:tcPr>
            <w:tcW w:type="dxa" w:w="4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Incubate at 37 degrees for 24 hours.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1440 min</w:t>
            </w:r>
          </w:p>
        </w:tc>
      </w:tr>
    </w:tbl>
    <w:p>
      <w:pPr>
        <w:keepNext/>
        <w:spacing w:before="320" w:after="120"/>
        <w:pBdr>
          <w:bottom w:val="single" w:sz="8" w:space="4" w:color="D1D5DB"/>
        </w:pBdr>
      </w:pPr>
      <w:r>
        <w:rPr>
          <w:rFonts w:ascii="Arial" w:hAnsi="Arial" w:cs="Arial"/>
          <w:b/>
          <w:i w:val="0"/>
          <w:color w:val="2C3E50"/>
          <w:sz w:val="32"/>
        </w:rPr>
        <w:t>Approval &amp; Signatures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