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24"/>
        </w:rPr>
        <w:t>Standard Operating Procedure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Document Number: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  <w:tc>
          <w:tcPr>
            <w:tcW w:type="dxa" w:w="20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Revision: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2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Title: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Effective Date: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    Project:     Generated: April 1, 2026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1.0 Purpose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2.0 Scope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 xml:space="preserve">3.0 Procedure: Multi-Role Buffer Protocol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2C3E50"/>
          <w:sz w:val="26"/>
        </w:rPr>
        <w:t xml:space="preserve">3.1  Media Prep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1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Duration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Weigh Reagents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Weigh NaCl and KCl. NaCl: 8, and KCl: 0.2.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10 min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Dissolve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Add to 1000 mL water and stir.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15 min</w:t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2C3E50"/>
          <w:sz w:val="26"/>
        </w:rPr>
        <w:t xml:space="preserve">3.2  QC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1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Duration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Measure pH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Measure and adjust pH. Target pH: 7.4.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5 min</w:t>
            </w:r>
          </w:p>
        </w:tc>
      </w:tr>
    </w:tbl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Approval &amp; Signatures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