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cs="Arial"/>
          <w:b w:val="0"/>
          <w:i w:val="0"/>
          <w:color w:val="5F6368"/>
          <w:sz w:val="24"/>
        </w:rPr>
        <w:t>Standard Operating Procedure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Document Number: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0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Revision: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1</w:t>
            </w:r>
          </w:p>
        </w:tc>
      </w:tr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7400"/>
            <w:gridSpan w:val="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Simple Buffer Protocol</w:t>
            </w:r>
          </w:p>
        </w:tc>
      </w:tr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Effective Date:</w:t>
            </w:r>
          </w:p>
        </w:tc>
        <w:tc>
          <w:tcPr>
            <w:tcW w:type="dxa" w:w="7400"/>
            <w:gridSpan w:val="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 xml:space="preserve">    Project:     Generated: April 1, 2026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1.0 Purpose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/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2.0 Scope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/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 xml:space="preserve">3.0 Procedure: Simple Buffer Protocol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16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Duration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Buffer Preparation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Prepare 500 mL of PBS buffer.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Cell Seeding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Seed cells at target density. Seeding Density: 1e+06.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15 min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