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 w:cs="Arial"/>
          <w:b w:val="0"/>
          <w:i w:val="0"/>
          <w:color w:val="5F6368"/>
          <w:sz w:val="24"/>
        </w:rPr>
        <w:t>Standard Operating Procedure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24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Document Number:</w:t>
            </w:r>
          </w:p>
        </w:tc>
        <w:tc>
          <w:tcPr>
            <w:tcW w:type="dxa" w:w="2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/>
            </w:r>
          </w:p>
        </w:tc>
        <w:tc>
          <w:tcPr>
            <w:tcW w:type="dxa" w:w="20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Revision: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2</w:t>
            </w:r>
          </w:p>
        </w:tc>
      </w:tr>
      <w:tr>
        <w:tc>
          <w:tcPr>
            <w:tcW w:type="dxa" w:w="24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Title:</w:t>
            </w:r>
          </w:p>
        </w:tc>
        <w:tc>
          <w:tcPr>
            <w:tcW w:type="dxa" w:w="7400"/>
            <w:gridSpan w:val="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Time-Course Bioreactor Sampling and Viability Analysis</w:t>
            </w:r>
          </w:p>
        </w:tc>
      </w:tr>
      <w:tr>
        <w:tc>
          <w:tcPr>
            <w:tcW w:type="dxa" w:w="24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Effective Date:</w:t>
            </w:r>
          </w:p>
        </w:tc>
        <w:tc>
          <w:tcPr>
            <w:tcW w:type="dxa" w:w="7400"/>
            <w:gridSpan w:val="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May 1, 2026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rFonts w:ascii="Arial" w:hAnsi="Arial" w:cs="Arial"/>
          <w:b w:val="0"/>
          <w:i w:val="0"/>
          <w:color w:val="5F6368"/>
          <w:sz w:val="18"/>
        </w:rPr>
        <w:t xml:space="preserve">Trellis Bioworks    Project: CHO-K1 Fed-Batch Optimization    Generated: May 17, 2026</w:t>
      </w:r>
    </w:p>
    <w:p>
      <w:pPr>
        <w:keepNext/>
        <w:spacing w:before="320" w:after="120"/>
        <w:pBdr>
          <w:bottom w:val="single" w:sz="8" w:space="4" w:color="D1D5DB"/>
        </w:pBdr>
      </w:pPr>
      <w:r>
        <w:rPr>
          <w:rFonts w:ascii="Arial" w:hAnsi="Arial" w:cs="Arial"/>
          <w:b/>
          <w:i w:val="0"/>
          <w:color w:val="2C3E50"/>
          <w:sz w:val="32"/>
        </w:rPr>
        <w:t>1.0 Purpose</w:t>
      </w:r>
    </w:p>
    <w:p>
      <w:pPr>
        <w:spacing w:after="160"/>
      </w:pPr>
      <w:r>
        <w:rPr>
          <w:rFonts w:ascii="Arial" w:hAnsi="Arial" w:cs="Arial"/>
          <w:b w:val="0"/>
          <w:i w:val="0"/>
          <w:color w:val="000000"/>
          <w:sz w:val="20"/>
        </w:rPr>
        <w:t xml:space="preserve"/>
      </w:r>
    </w:p>
    <w:p>
      <w:pPr>
        <w:keepNext/>
        <w:spacing w:before="320" w:after="120"/>
        <w:pBdr>
          <w:bottom w:val="single" w:sz="8" w:space="4" w:color="D1D5DB"/>
        </w:pBdr>
      </w:pPr>
      <w:r>
        <w:rPr>
          <w:rFonts w:ascii="Arial" w:hAnsi="Arial" w:cs="Arial"/>
          <w:b/>
          <w:i w:val="0"/>
          <w:color w:val="2C3E50"/>
          <w:sz w:val="32"/>
        </w:rPr>
        <w:t>2.0 Scope</w:t>
      </w:r>
    </w:p>
    <w:p>
      <w:pPr>
        <w:spacing w:after="160"/>
      </w:pPr>
      <w:r>
        <w:rPr>
          <w:rFonts w:ascii="Arial" w:hAnsi="Arial" w:cs="Arial"/>
          <w:b w:val="0"/>
          <w:i w:val="0"/>
          <w:color w:val="000000"/>
          <w:sz w:val="20"/>
        </w:rPr>
        <w:t xml:space="preserve"/>
      </w:r>
    </w:p>
    <w:p>
      <w:pPr>
        <w:keepNext/>
        <w:spacing w:before="320" w:after="120"/>
        <w:pBdr>
          <w:bottom w:val="single" w:sz="8" w:space="4" w:color="D1D5DB"/>
        </w:pBdr>
      </w:pPr>
      <w:r>
        <w:rPr>
          <w:rFonts w:ascii="Arial" w:hAnsi="Arial" w:cs="Arial"/>
          <w:b/>
          <w:i w:val="0"/>
          <w:color w:val="2C3E50"/>
          <w:sz w:val="32"/>
        </w:rPr>
        <w:t xml:space="preserve">3.0 Procedure: Time-Course Bioreactor Sampling and Viability Analysis</w:t>
      </w:r>
    </w:p>
    <w:p>
      <w:pPr>
        <w:spacing w:before="80" w:after="200"/>
      </w:pPr>
      <w:r>
        <w:rPr>
          <w:rFonts w:ascii="Arial" w:hAnsi="Arial" w:cs="Arial"/>
          <w:b/>
          <w:i w:val="0"/>
          <w:color w:val="B91C1C"/>
          <w:sz w:val="20"/>
        </w:rPr>
        <w:t xml:space="preserve">CRITICAL REQUIREMENT: </w:t>
      </w:r>
      <w:r>
        <w:rPr>
          <w:rFonts w:ascii="Arial" w:hAnsi="Arial" w:cs="Arial"/>
          <w:b w:val="0"/>
          <w:i w:val="0"/>
          <w:color w:val="000000"/>
          <w:sz w:val="20"/>
        </w:rPr>
        <w:t xml:space="preserve">All sampling MUST occur within ±5 min of the nominal time point. Deviations &gt;5 min require an in-process deviation (IPD) report before the next time point.</w:t>
      </w:r>
    </w:p>
    <w:p>
      <w:pPr>
        <w:keepNext/>
        <w:spacing w:before="280" w:after="80"/>
      </w:pPr>
      <w:r>
        <w:rPr>
          <w:rFonts w:ascii="Arial" w:hAnsi="Arial" w:cs="Arial"/>
          <w:b/>
          <w:i w:val="0"/>
          <w:color w:val="2C3E50"/>
          <w:sz w:val="26"/>
        </w:rPr>
        <w:t xml:space="preserve">3.1  Hour 0 (T=0) — Inoculation Sampling</w:t>
      </w:r>
    </w:p>
    <w:p>
      <w:pPr>
        <w:spacing w:after="120"/>
      </w:pPr>
      <w:r>
        <w:rPr>
          <w:rFonts w:ascii="Arial" w:hAnsi="Arial" w:cs="Arial"/>
          <w:b w:val="0"/>
          <w:i w:val="0"/>
          <w:color w:val="000000"/>
          <w:sz w:val="20"/>
        </w:rPr>
        <w:t xml:space="preserve">Reference time point. Sample drawn immediately after inoculation establishes baseline viability and metabolite concentration.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080"/>
      </w:tblGrid>
      <w:tr>
        <w:tc>
          <w:tcPr>
            <w:tcW w:type="dxa" w:w="9800"/>
            <w:shd w:val="clear" w:color="auto" w:fill="FDFDF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160" w:after="80"/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spacing w:after="80"/>
              <w:jc w:val="center"/>
            </w:pPr>
            <w:r>
              <w:rPr>
                <w:rFonts w:ascii="Arial" w:hAnsi="Arial" w:cs="Arial"/>
                <w:b/>
                <w:i w:val="0"/>
                <w:color w:val="5F6368"/>
                <w:sz w:val="22"/>
              </w:rPr>
              <w:t xml:space="preserve">Figure 1: Inoculation sampling port (post-CIP).</w:t>
            </w:r>
          </w:p>
          <w:p>
            <w:pPr>
              <w:spacing w:after="160"/>
              <w:jc w:val="center"/>
            </w:pPr>
            <w:r>
              <w:rPr>
                <w:rFonts w:ascii="Arial" w:hAnsi="Arial" w:cs="Arial"/>
                <w:b w:val="0"/>
                <w:i/>
                <w:color w:val="5F6368"/>
                <w:sz w:val="20"/>
              </w:rPr>
              <w:t xml:space="preserve">Annotated photograph of the bioreactor sampling port showing the sterile septum and integrated luer fitting.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3360"/>
        <w:gridCol w:w="3360"/>
        <w:gridCol w:w="3360"/>
      </w:tblGrid>
      <w:tr>
        <w:tc>
          <w:tcPr>
            <w:tcW w:type="dxa" w:w="22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40" w:type="dxa"/>
              <w:bottom w:w="14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Time Target</w:t>
            </w:r>
          </w:p>
        </w:tc>
        <w:tc>
          <w:tcPr>
            <w:tcW w:type="dxa" w:w="48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40" w:type="dxa"/>
              <w:bottom w:w="14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Action</w:t>
            </w:r>
          </w:p>
        </w:tc>
        <w:tc>
          <w:tcPr>
            <w:tcW w:type="dxa" w:w="28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40" w:type="dxa"/>
              <w:bottom w:w="14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Expected Output / Log</w:t>
            </w:r>
          </w:p>
        </w:tc>
      </w:tr>
      <w:tr>
        <w:tc>
          <w:tcPr>
            <w:tcW w:type="dxa" w:w="22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 xml:space="preserve">T=0 min</w:t>
            </w:r>
          </w:p>
        </w:tc>
        <w:tc>
          <w:tcPr>
            <w:tcW w:type="dxa" w:w="4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Aseptically draw 5 mL via sterile sampling port into pre-labelled 15 mL conical.</w:t>
            </w:r>
          </w:p>
        </w:tc>
        <w:tc>
          <w:tcPr>
            <w:tcW w:type="dxa" w:w="2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Sample S-0 logged in eBR; cap torque verified.</w:t>
            </w:r>
          </w:p>
        </w:tc>
      </w:tr>
      <w:tr>
        <w:tc>
          <w:tcPr>
            <w:tcW w:type="dxa" w:w="22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 xml:space="preserve">T+10 min</w:t>
            </w:r>
          </w:p>
        </w:tc>
        <w:tc>
          <w:tcPr>
            <w:tcW w:type="dxa" w:w="4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Perform trypan-blue viability count (Cellometer K2, 1:1 dilution).</w:t>
            </w:r>
          </w:p>
        </w:tc>
        <w:tc>
          <w:tcPr>
            <w:tcW w:type="dxa" w:w="2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Viable cell density (cells/mL); viability %.</w:t>
            </w:r>
          </w:p>
        </w:tc>
      </w:tr>
      <w:tr>
        <w:tc>
          <w:tcPr>
            <w:tcW w:type="dxa" w:w="22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 xml:space="preserve">T+15 min</w:t>
            </w:r>
          </w:p>
        </w:tc>
        <w:tc>
          <w:tcPr>
            <w:tcW w:type="dxa" w:w="4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Submit retained aliquot to in-process QC (pH, glucose).</w:t>
            </w:r>
          </w:p>
        </w:tc>
        <w:tc>
          <w:tcPr>
            <w:tcW w:type="dxa" w:w="2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pH, glucose (g/L) recorded; sample chain-of-custody signed.</w:t>
            </w:r>
          </w:p>
        </w:tc>
      </w:tr>
    </w:tbl>
    <w:p>
      <w:pPr>
        <w:keepNext/>
        <w:spacing w:before="280" w:after="80"/>
      </w:pPr>
      <w:r>
        <w:rPr>
          <w:rFonts w:ascii="Arial" w:hAnsi="Arial" w:cs="Arial"/>
          <w:b/>
          <w:i w:val="0"/>
          <w:color w:val="2C3E50"/>
          <w:sz w:val="26"/>
        </w:rPr>
        <w:t xml:space="preserve">3.2  Hour 3 (T=3) — Foam  Growth Check</w:t>
      </w:r>
    </w:p>
    <w:p>
      <w:pPr>
        <w:spacing w:after="120"/>
      </w:pPr>
      <w:r>
        <w:rPr>
          <w:rFonts w:ascii="Arial" w:hAnsi="Arial" w:cs="Arial"/>
          <w:b w:val="0"/>
          <w:i w:val="0"/>
          <w:color w:val="000000"/>
          <w:sz w:val="20"/>
        </w:rPr>
        <w:t xml:space="preserve">Inspection only — no draw unless foam height exceeds the documented limit.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080"/>
      </w:tblGrid>
      <w:tr>
        <w:tc>
          <w:tcPr>
            <w:tcW w:type="dxa" w:w="9800"/>
            <w:shd w:val="clear" w:color="auto" w:fill="FDFDF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160" w:after="80"/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/>
            </w:r>
          </w:p>
          <w:p>
            <w:pPr>
              <w:spacing w:after="80"/>
              <w:jc w:val="center"/>
            </w:pPr>
            <w:r>
              <w:rPr>
                <w:rFonts w:ascii="Arial" w:hAnsi="Arial" w:cs="Arial"/>
                <w:b/>
                <w:i w:val="0"/>
                <w:color w:val="5F6368"/>
                <w:sz w:val="22"/>
              </w:rPr>
              <w:t xml:space="preserve">Figure 2: Acceptable vs. excessive foam.</w:t>
            </w:r>
          </w:p>
          <w:p>
            <w:pPr>
              <w:spacing w:after="160"/>
              <w:jc w:val="center"/>
            </w:pPr>
            <w:r>
              <w:rPr>
                <w:rFonts w:ascii="Arial" w:hAnsi="Arial" w:cs="Arial"/>
                <w:b w:val="0"/>
                <w:i/>
                <w:color w:val="5F6368"/>
                <w:sz w:val="20"/>
              </w:rPr>
              <w:t xml:space="preserve">Side-by-side comparison of acceptable headspace foam (10 mm) and the rejection threshold.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3360"/>
        <w:gridCol w:w="3360"/>
        <w:gridCol w:w="3360"/>
      </w:tblGrid>
      <w:tr>
        <w:tc>
          <w:tcPr>
            <w:tcW w:type="dxa" w:w="22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40" w:type="dxa"/>
              <w:bottom w:w="14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Time Target</w:t>
            </w:r>
          </w:p>
        </w:tc>
        <w:tc>
          <w:tcPr>
            <w:tcW w:type="dxa" w:w="48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40" w:type="dxa"/>
              <w:bottom w:w="14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Action</w:t>
            </w:r>
          </w:p>
        </w:tc>
        <w:tc>
          <w:tcPr>
            <w:tcW w:type="dxa" w:w="28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40" w:type="dxa"/>
              <w:bottom w:w="14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Expected Output / Log</w:t>
            </w:r>
          </w:p>
        </w:tc>
      </w:tr>
      <w:tr>
        <w:tc>
          <w:tcPr>
            <w:tcW w:type="dxa" w:w="22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 xml:space="preserve">T=3 h</w:t>
            </w:r>
          </w:p>
        </w:tc>
        <w:tc>
          <w:tcPr>
            <w:tcW w:type="dxa" w:w="4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Visually inspect headspace foam height; compare to Figure 2.</w:t>
            </w:r>
          </w:p>
        </w:tc>
        <w:tc>
          <w:tcPr>
            <w:tcW w:type="dxa" w:w="2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PASS / FAIL noted in eBR; foam height (mm).</w:t>
            </w:r>
          </w:p>
        </w:tc>
      </w:tr>
      <w:tr>
        <w:tc>
          <w:tcPr>
            <w:tcW w:type="dxa" w:w="22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 xml:space="preserve">T=3 h +5 min</w:t>
            </w:r>
          </w:p>
        </w:tc>
        <w:tc>
          <w:tcPr>
            <w:tcW w:type="dxa" w:w="4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If FAIL: add 0.5 mL sterile antifoam-C via dedicated addition port and re-inspect.</w:t>
            </w:r>
          </w:p>
        </w:tc>
        <w:tc>
          <w:tcPr>
            <w:tcW w:type="dxa" w:w="2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Antifoam lot, volume, and post-add foam height logged.</w:t>
            </w:r>
          </w:p>
        </w:tc>
      </w:tr>
    </w:tbl>
    <w:p>
      <w:pPr>
        <w:keepNext/>
        <w:spacing w:before="280" w:after="80"/>
      </w:pPr>
      <w:r>
        <w:rPr>
          <w:rFonts w:ascii="Arial" w:hAnsi="Arial" w:cs="Arial"/>
          <w:b/>
          <w:i w:val="0"/>
          <w:color w:val="2C3E50"/>
          <w:sz w:val="26"/>
        </w:rPr>
        <w:t xml:space="preserve">3.3  Hour 6 (T=6) — Feed Initiation Sampling</w:t>
      </w:r>
    </w:p>
    <w:p>
      <w:pPr>
        <w:spacing w:after="120"/>
      </w:pPr>
      <w:r>
        <w:rPr>
          <w:rFonts w:ascii="Arial" w:hAnsi="Arial" w:cs="Arial"/>
          <w:b w:val="0"/>
          <w:i w:val="0"/>
          <w:color w:val="000000"/>
          <w:sz w:val="20"/>
        </w:rPr>
        <w:t xml:space="preserve">Sample drawn immediately prior to bolus feed addition; establishes the pre-feed metabolic profile.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3360"/>
        <w:gridCol w:w="3360"/>
        <w:gridCol w:w="3360"/>
      </w:tblGrid>
      <w:tr>
        <w:tc>
          <w:tcPr>
            <w:tcW w:type="dxa" w:w="22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40" w:type="dxa"/>
              <w:bottom w:w="14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Time Target</w:t>
            </w:r>
          </w:p>
        </w:tc>
        <w:tc>
          <w:tcPr>
            <w:tcW w:type="dxa" w:w="48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40" w:type="dxa"/>
              <w:bottom w:w="14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Action</w:t>
            </w:r>
          </w:p>
        </w:tc>
        <w:tc>
          <w:tcPr>
            <w:tcW w:type="dxa" w:w="2800"/>
            <w:shd w:val="clear" w:color="auto" w:fill="ECF0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40" w:type="dxa"/>
              <w:bottom w:w="14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Expected Output / Log</w:t>
            </w:r>
          </w:p>
        </w:tc>
      </w:tr>
      <w:tr>
        <w:tc>
          <w:tcPr>
            <w:tcW w:type="dxa" w:w="22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 xml:space="preserve">T=6 h</w:t>
            </w:r>
          </w:p>
        </w:tc>
        <w:tc>
          <w:tcPr>
            <w:tcW w:type="dxa" w:w="4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Aseptically draw 10 mL into pre-labelled tube; split into viability and metabolite aliquots.</w:t>
            </w:r>
          </w:p>
        </w:tc>
        <w:tc>
          <w:tcPr>
            <w:tcW w:type="dxa" w:w="2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Sample S-6 logged; aliquots routed to bench + QC.</w:t>
            </w:r>
          </w:p>
        </w:tc>
      </w:tr>
      <w:tr>
        <w:tc>
          <w:tcPr>
            <w:tcW w:type="dxa" w:w="22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 xml:space="preserve">T=6 h +20 min</w:t>
            </w:r>
          </w:p>
        </w:tc>
        <w:tc>
          <w:tcPr>
            <w:tcW w:type="dxa" w:w="4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Initiate bolus feed (Feed-A, 50 mL) via peristaltic pump P-02.</w:t>
            </w:r>
          </w:p>
        </w:tc>
        <w:tc>
          <w:tcPr>
            <w:tcW w:type="dxa" w:w="2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Feed start time, pump RPM, and totaliser reading.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