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6"/>
        </w:rPr>
        <w:t xml:space="preserve">Multi-Role Buffer Protocol</w:t>
      </w:r>
    </w:p>
    <w:p>
      <w:pPr>
        <w:jc w:val="center"/>
      </w:pPr>
      <w:r>
        <w:rPr>
          <w:i/>
          <w:color w:val="475569"/>
          <w:sz w:val="22"/>
        </w:rPr>
        <w:t>Toxicology Study Material Manufacturing Record</w:t>
      </w:r>
    </w:p>
    <w:p>
      <w:pPr>
        <w:jc w:val="center"/>
      </w:pPr>
      <w:r>
        <w:rPr>
          <w:color w:val="64748B"/>
          <w:sz w:val="18"/>
        </w:rPr>
        <w:t>Informal Designation: "GLP Level Batch Record"</w:t>
      </w:r>
    </w:p>
    <w:p>
      <w:r>
        <w:rPr>
          <w:b w:val="0"/>
          <w:i w:val="0"/>
          <w:color w:val="334155"/>
          <w:sz w:val="20"/>
        </w:rPr>
        <w:t>Purpose: To document the manufacturing process for non-clinical test articles intended for use in Good Laboratory Practice (GLP) studies. This record provides a complete history of material production, including all raw materials, equipment, process steps, and deviations.</w:t>
      </w:r>
    </w:p>
    <w:p>
      <w:r>
        <w:rPr>
          <w:b w:val="0"/>
          <w:i w:val="0"/>
          <w:color w:val="475569"/>
          <w:sz w:val="18"/>
        </w:rPr>
        <w:t xml:space="preserve">Run: Run-2026-003 (With Figures)    Status: ACTIVE    Started:     Completed: </w:t>
      </w:r>
    </w:p>
    <w:p>
      <w:r>
        <w:rPr>
          <w:b w:val="0"/>
          <w:i w:val="0"/>
          <w:color w:val="475569"/>
          <w:sz w:val="18"/>
        </w:rPr>
        <w:t xml:space="preserve">Project:     Organization:     Protocol Version: v2    Generated: April 1, 2026</w:t>
      </w:r>
    </w:p>
    <w:p>
      <w:pPr>
        <w:spacing w:before="240" w:after="80"/>
      </w:pPr>
      <w:r>
        <w:rPr>
          <w:b/>
          <w:color w:val="1F2937"/>
          <w:sz w:val="28"/>
        </w:rPr>
        <w:t>1. General Information</w:t>
      </w:r>
    </w:p>
    <w:tbl>
      <w:tblPr>
        <w:tblW w:type="auto" w:w="0"/>
        <w:tblLayout w:type="autofit"/>
        <w:tblLook w:firstColumn="1" w:firstRow="1" w:lastColumn="0" w:lastRow="0" w:noHBand="0" w:noVBand="1" w:val="04A0"/>
      </w:tblPr>
      <w:tblGrid>
        <w:gridCol w:w="5040"/>
        <w:gridCol w:w="5040"/>
      </w:tblGrid>
      <w:tr>
        <w:tc>
          <w:tcPr>
            <w:tcW w:type="dxa" w:w="360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Product Name / Candidate</w:t>
            </w:r>
          </w:p>
        </w:tc>
        <w:tc>
          <w:tcPr>
            <w:tcW w:type="dxa" w:w="5040"/>
            <w:tcBorders>
              <w:top w:val="single" w:sz="4" w:color="BFBFBF"/>
              <w:left w:val="single" w:sz="4" w:color="BFBFBF"/>
              <w:bottom w:val="single" w:sz="4" w:color="BFBFBF"/>
              <w:right w:val="single" w:sz="4" w:color="BFBFBF"/>
            </w:tcBorders>
            <w:vAlign w:val="center"/>
          </w:tcPr>
          <w:p>
            <w:r/>
            <w:r>
              <w:rPr>
                <w:b w:val="0"/>
                <w:sz w:val="20"/>
              </w:rPr>
              <w:t xml:space="preserve">Multi-Role Buffer Protocol</w:t>
            </w:r>
          </w:p>
        </w:tc>
      </w:tr>
      <w:tr>
        <w:tc>
          <w:tcPr>
            <w:tcW w:type="dxa" w:w="360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Batch / Lot Number</w:t>
            </w:r>
          </w:p>
        </w:tc>
        <w:tc>
          <w:tcPr>
            <w:tcW w:type="dxa" w:w="5040"/>
            <w:tcBorders>
              <w:top w:val="single" w:sz="4" w:color="BFBFBF"/>
              <w:left w:val="single" w:sz="4" w:color="BFBFBF"/>
              <w:bottom w:val="single" w:sz="4" w:color="BFBFBF"/>
              <w:right w:val="single" w:sz="4" w:color="BFBFBF"/>
            </w:tcBorders>
            <w:vAlign w:val="center"/>
          </w:tcPr>
          <w:p>
            <w:r/>
            <w:r>
              <w:rPr>
                <w:b w:val="0"/>
                <w:sz w:val="20"/>
              </w:rPr>
              <w:t xml:space="preserve">Run-2026-003 (With Figures)</w:t>
            </w:r>
          </w:p>
        </w:tc>
      </w:tr>
      <w:tr>
        <w:tc>
          <w:tcPr>
            <w:tcW w:type="dxa" w:w="360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Target Yield / Scale</w:t>
            </w:r>
          </w:p>
        </w:tc>
        <w:tc>
          <w:tcPr>
            <w:tcW w:type="dxa" w:w="5040"/>
            <w:tcBorders>
              <w:top w:val="single" w:sz="4" w:color="BFBFBF"/>
              <w:left w:val="single" w:sz="4" w:color="BFBFBF"/>
              <w:bottom w:val="single" w:sz="4" w:color="BFBFBF"/>
              <w:right w:val="single" w:sz="4" w:color="BFBFBF"/>
            </w:tcBorders>
            <w:vAlign w:val="center"/>
          </w:tcPr>
          <w:p>
            <w:r/>
            <w:r>
              <w:rPr>
                <w:b w:val="0"/>
                <w:sz w:val="20"/>
              </w:rPr>
            </w:r>
          </w:p>
        </w:tc>
      </w:tr>
      <w:tr>
        <w:tc>
          <w:tcPr>
            <w:tcW w:type="dxa" w:w="360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Process SOP / Protocol Reference</w:t>
            </w:r>
          </w:p>
        </w:tc>
        <w:tc>
          <w:tcPr>
            <w:tcW w:type="dxa" w:w="5040"/>
            <w:tcBorders>
              <w:top w:val="single" w:sz="4" w:color="BFBFBF"/>
              <w:left w:val="single" w:sz="4" w:color="BFBFBF"/>
              <w:bottom w:val="single" w:sz="4" w:color="BFBFBF"/>
              <w:right w:val="single" w:sz="4" w:color="BFBFBF"/>
            </w:tcBorders>
            <w:vAlign w:val="center"/>
          </w:tcPr>
          <w:p>
            <w:r/>
            <w:r>
              <w:rPr>
                <w:b w:val="0"/>
                <w:sz w:val="20"/>
              </w:rPr>
              <w:t xml:space="preserve">Multi-Role Buffer Protocol (v2)</w:t>
            </w:r>
          </w:p>
        </w:tc>
      </w:tr>
    </w:tbl>
    <w:p>
      <w:pPr>
        <w:spacing w:before="240" w:after="80"/>
      </w:pPr>
      <w:r>
        <w:rPr>
          <w:b/>
          <w:color w:val="1F2937"/>
          <w:sz w:val="28"/>
        </w:rPr>
        <w:t>2. Bill of Materials (BOM)</w:t>
      </w:r>
    </w:p>
    <w:p>
      <w:r>
        <w:rPr>
          <w:b w:val="0"/>
          <w:i/>
          <w:color w:val="64748B"/>
          <w:sz w:val="18"/>
        </w:rPr>
        <w:t>Record all raw materials, media, and buffers utilized in this run. If material data is captured by the system, rows are populated automatically; otherwise complete manually.</w:t>
      </w:r>
    </w:p>
    <w:tbl>
      <w:tblPr>
        <w:tblW w:type="auto" w:w="0"/>
        <w:tblLook w:firstColumn="1" w:firstRow="1" w:lastColumn="0" w:lastRow="0" w:noHBand="0" w:noVBand="1" w:val="04A0"/>
      </w:tblPr>
      <w:tblGrid>
        <w:gridCol w:w="2016"/>
        <w:gridCol w:w="2016"/>
        <w:gridCol w:w="2016"/>
        <w:gridCol w:w="2016"/>
        <w:gridCol w:w="2016"/>
      </w:tblGrid>
      <w:tr>
        <w:tc>
          <w:tcPr>
            <w:tcW w:type="dxa" w:w="2016"/>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Material Description</w:t>
            </w:r>
          </w:p>
        </w:tc>
        <w:tc>
          <w:tcPr>
            <w:tcW w:type="dxa" w:w="2016"/>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Part / Lot Number</w:t>
            </w:r>
          </w:p>
        </w:tc>
        <w:tc>
          <w:tcPr>
            <w:tcW w:type="dxa" w:w="2016"/>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Required Quantity</w:t>
            </w:r>
          </w:p>
        </w:tc>
        <w:tc>
          <w:tcPr>
            <w:tcW w:type="dxa" w:w="2016"/>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Actual Quantity Added</w:t>
            </w:r>
          </w:p>
        </w:tc>
        <w:tc>
          <w:tcPr>
            <w:tcW w:type="dxa" w:w="2016"/>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Operator Initials &amp; Date</w:t>
            </w:r>
          </w:p>
        </w:tc>
      </w:tr>
      <w:tr>
        <w:tc>
          <w:tcPr>
            <w:tcW w:type="dxa" w:w="2016"/>
            <w:tcBorders>
              <w:top w:val="single" w:sz="4" w:color="BFBFBF"/>
              <w:left w:val="single" w:sz="4" w:color="BFBFBF"/>
              <w:bottom w:val="single" w:sz="4" w:color="BFBFBF"/>
              <w:right w:val="single" w:sz="4" w:color="BFBFBF"/>
            </w:tcBorders>
            <w:vAlign w:val="center"/>
          </w:tcPr>
          <w:p>
            <w:r/>
            <w:r>
              <w:rPr>
                <w:b w:val="0"/>
                <w:sz w:val="20"/>
              </w:rPr>
            </w:r>
          </w:p>
        </w:tc>
        <w:tc>
          <w:tcPr>
            <w:tcW w:type="dxa" w:w="2016"/>
            <w:tcBorders>
              <w:top w:val="single" w:sz="4" w:color="BFBFBF"/>
              <w:left w:val="single" w:sz="4" w:color="BFBFBF"/>
              <w:bottom w:val="single" w:sz="4" w:color="BFBFBF"/>
              <w:right w:val="single" w:sz="4" w:color="BFBFBF"/>
            </w:tcBorders>
            <w:vAlign w:val="center"/>
          </w:tcPr>
          <w:p>
            <w:r/>
            <w:r>
              <w:rPr>
                <w:b w:val="0"/>
                <w:sz w:val="20"/>
              </w:rPr>
            </w:r>
          </w:p>
        </w:tc>
        <w:tc>
          <w:tcPr>
            <w:tcW w:type="dxa" w:w="2016"/>
            <w:tcBorders>
              <w:top w:val="single" w:sz="4" w:color="BFBFBF"/>
              <w:left w:val="single" w:sz="4" w:color="BFBFBF"/>
              <w:bottom w:val="single" w:sz="4" w:color="BFBFBF"/>
              <w:right w:val="single" w:sz="4" w:color="BFBFBF"/>
            </w:tcBorders>
            <w:vAlign w:val="center"/>
          </w:tcPr>
          <w:p>
            <w:r/>
            <w:r>
              <w:rPr>
                <w:b w:val="0"/>
                <w:sz w:val="20"/>
              </w:rPr>
            </w:r>
          </w:p>
        </w:tc>
        <w:tc>
          <w:tcPr>
            <w:tcW w:type="dxa" w:w="2016"/>
            <w:tcBorders>
              <w:top w:val="single" w:sz="4" w:color="BFBFBF"/>
              <w:left w:val="single" w:sz="4" w:color="BFBFBF"/>
              <w:bottom w:val="single" w:sz="4" w:color="BFBFBF"/>
              <w:right w:val="single" w:sz="4" w:color="BFBFBF"/>
            </w:tcBorders>
            <w:vAlign w:val="center"/>
          </w:tcPr>
          <w:p>
            <w:r/>
            <w:r>
              <w:rPr>
                <w:b w:val="0"/>
                <w:sz w:val="20"/>
              </w:rPr>
            </w:r>
          </w:p>
        </w:tc>
        <w:tc>
          <w:tcPr>
            <w:tcW w:type="dxa" w:w="2016"/>
            <w:tcBorders>
              <w:top w:val="single" w:sz="4" w:color="BFBFBF"/>
              <w:left w:val="single" w:sz="4" w:color="BFBFBF"/>
              <w:bottom w:val="single" w:sz="4" w:color="BFBFBF"/>
              <w:right w:val="single" w:sz="4" w:color="BFBFBF"/>
            </w:tcBorders>
            <w:vAlign w:val="center"/>
          </w:tcPr>
          <w:p>
            <w:r/>
            <w:r>
              <w:rPr>
                <w:b w:val="0"/>
                <w:sz w:val="20"/>
              </w:rPr>
            </w:r>
          </w:p>
        </w:tc>
      </w:tr>
    </w:tbl>
    <w:p>
      <w:pPr>
        <w:spacing w:before="240" w:after="80"/>
      </w:pPr>
      <w:r>
        <w:rPr>
          <w:b/>
          <w:color w:val="1F2937"/>
          <w:sz w:val="28"/>
        </w:rPr>
        <w:t>3. Equipment Log</w:t>
      </w:r>
    </w:p>
    <w:p>
      <w:r>
        <w:rPr>
          <w:b w:val="0"/>
          <w:i/>
          <w:color w:val="64748B"/>
          <w:sz w:val="18"/>
        </w:rPr>
        <w:t>Record primary equipment used to ensure traceability in the event of equipment failure or contamination.</w:t>
      </w:r>
    </w:p>
    <w:tbl>
      <w:tblPr>
        <w:tblW w:type="auto" w:w="0"/>
        <w:tblLook w:firstColumn="1" w:firstRow="1" w:lastColumn="0" w:lastRow="0" w:noHBand="0" w:noVBand="1" w:val="04A0"/>
      </w:tblPr>
      <w:tblGrid>
        <w:gridCol w:w="2520"/>
        <w:gridCol w:w="2520"/>
        <w:gridCol w:w="2520"/>
        <w:gridCol w:w="2520"/>
      </w:tblGrid>
      <w:tr>
        <w:tc>
          <w:tcPr>
            <w:tcW w:type="dxa" w:w="252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Equipment Name / Type</w:t>
            </w:r>
          </w:p>
        </w:tc>
        <w:tc>
          <w:tcPr>
            <w:tcW w:type="dxa" w:w="252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Equipment ID (Asset Tag)</w:t>
            </w:r>
          </w:p>
        </w:tc>
        <w:tc>
          <w:tcPr>
            <w:tcW w:type="dxa" w:w="252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Calibration Status (Valid Until)</w:t>
            </w:r>
          </w:p>
        </w:tc>
        <w:tc>
          <w:tcPr>
            <w:tcW w:type="dxa" w:w="252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Operator Initials &amp; Date</w:t>
            </w:r>
          </w:p>
        </w:tc>
      </w:tr>
      <w:tr>
        <w:tc>
          <w:tcPr>
            <w:tcW w:type="dxa" w:w="2520"/>
            <w:tcBorders>
              <w:top w:val="single" w:sz="4" w:color="BFBFBF"/>
              <w:left w:val="single" w:sz="4" w:color="BFBFBF"/>
              <w:bottom w:val="single" w:sz="4" w:color="BFBFBF"/>
              <w:right w:val="single" w:sz="4" w:color="BFBFBF"/>
            </w:tcBorders>
            <w:vAlign w:val="center"/>
          </w:tcPr>
          <w:p>
            <w:r/>
            <w:r>
              <w:rPr>
                <w:b w:val="0"/>
                <w:sz w:val="20"/>
              </w:rPr>
            </w:r>
          </w:p>
        </w:tc>
        <w:tc>
          <w:tcPr>
            <w:tcW w:type="dxa" w:w="2520"/>
            <w:tcBorders>
              <w:top w:val="single" w:sz="4" w:color="BFBFBF"/>
              <w:left w:val="single" w:sz="4" w:color="BFBFBF"/>
              <w:bottom w:val="single" w:sz="4" w:color="BFBFBF"/>
              <w:right w:val="single" w:sz="4" w:color="BFBFBF"/>
            </w:tcBorders>
            <w:vAlign w:val="center"/>
          </w:tcPr>
          <w:p>
            <w:r/>
            <w:r>
              <w:rPr>
                <w:b w:val="0"/>
                <w:sz w:val="20"/>
              </w:rPr>
            </w:r>
          </w:p>
        </w:tc>
        <w:tc>
          <w:tcPr>
            <w:tcW w:type="dxa" w:w="2520"/>
            <w:tcBorders>
              <w:top w:val="single" w:sz="4" w:color="BFBFBF"/>
              <w:left w:val="single" w:sz="4" w:color="BFBFBF"/>
              <w:bottom w:val="single" w:sz="4" w:color="BFBFBF"/>
              <w:right w:val="single" w:sz="4" w:color="BFBFBF"/>
            </w:tcBorders>
            <w:vAlign w:val="center"/>
          </w:tcPr>
          <w:p>
            <w:r/>
            <w:r>
              <w:rPr>
                <w:b w:val="0"/>
                <w:sz w:val="20"/>
              </w:rPr>
            </w:r>
          </w:p>
        </w:tc>
        <w:tc>
          <w:tcPr>
            <w:tcW w:type="dxa" w:w="2520"/>
            <w:tcBorders>
              <w:top w:val="single" w:sz="4" w:color="BFBFBF"/>
              <w:left w:val="single" w:sz="4" w:color="BFBFBF"/>
              <w:bottom w:val="single" w:sz="4" w:color="BFBFBF"/>
              <w:right w:val="single" w:sz="4" w:color="BFBFBF"/>
            </w:tcBorders>
            <w:vAlign w:val="center"/>
          </w:tcPr>
          <w:p>
            <w:r/>
            <w:r>
              <w:rPr>
                <w:b w:val="0"/>
                <w:sz w:val="20"/>
              </w:rPr>
            </w:r>
          </w:p>
        </w:tc>
      </w:tr>
    </w:tbl>
    <w:p>
      <w:pPr>
        <w:spacing w:before="240" w:after="80"/>
      </w:pPr>
      <w:r>
        <w:rPr>
          <w:b/>
          <w:color w:val="1F2937"/>
          <w:sz w:val="28"/>
        </w:rPr>
        <w:t>4. Execution: Unit Operations</w:t>
      </w:r>
    </w:p>
    <w:p>
      <w:r>
        <w:rPr>
          <w:b w:val="0"/>
          <w:i/>
          <w:color w:val="64748B"/>
          <w:sz w:val="18"/>
        </w:rPr>
        <w:t>Execute process steps. Unlike GMP, second-person verification (Verifier) is not always strictly mandated for all steps in development/tox manufacturing — apply per your SOP.</w:t>
      </w:r>
    </w:p>
    <w:p>
      <w:pPr>
        <w:spacing w:before="200" w:after="80"/>
      </w:pPr>
      <w:r>
        <w:rPr>
          <w:b/>
          <w:color w:val="1F2937"/>
          <w:sz w:val="24"/>
        </w:rPr>
        <w:t xml:space="preserve">4.1  Media Prep</w:t>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Step</w:t>
            </w:r>
          </w:p>
        </w:tc>
        <w:tc>
          <w:tcPr>
            <w:tcW w:type="dxa" w:w="168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Instruction</w:t>
            </w:r>
          </w:p>
        </w:tc>
        <w:tc>
          <w:tcPr>
            <w:tcW w:type="dxa" w:w="168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Target Parameter</w:t>
            </w:r>
          </w:p>
        </w:tc>
        <w:tc>
          <w:tcPr>
            <w:tcW w:type="dxa" w:w="168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Actual Value</w:t>
            </w:r>
          </w:p>
        </w:tc>
        <w:tc>
          <w:tcPr>
            <w:tcW w:type="dxa" w:w="168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Operator</w:t>
            </w:r>
          </w:p>
        </w:tc>
        <w:tc>
          <w:tcPr>
            <w:tcW w:type="dxa" w:w="168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Verifier</w:t>
            </w:r>
          </w:p>
        </w:tc>
      </w:tr>
      <w:tr>
        <w:tc>
          <w:tcPr>
            <w:tcW w:type="dxa" w:w="1680"/>
            <w:tcBorders>
              <w:top w:val="single" w:sz="4" w:color="BFBFBF"/>
              <w:left w:val="single" w:sz="4" w:color="BFBFBF"/>
              <w:bottom w:val="single" w:sz="4" w:color="BFBFBF"/>
              <w:right w:val="single" w:sz="4" w:color="BFBFBF"/>
            </w:tcBorders>
            <w:vAlign w:val="center"/>
          </w:tcPr>
          <w:p>
            <w:pPr>
              <w:jc w:val="center"/>
            </w:pPr>
            <w:r/>
            <w:r>
              <w:rPr>
                <w:b w:val="0"/>
                <w:sz w:val="20"/>
              </w:rPr>
              <w:t xml:space="preserve">1</w:t>
            </w:r>
          </w:p>
        </w:tc>
        <w:tc>
          <w:tcPr>
            <w:tcW w:type="dxa" w:w="1680"/>
            <w:tcBorders>
              <w:top w:val="single" w:sz="4" w:color="BFBFBF"/>
              <w:left w:val="single" w:sz="4" w:color="BFBFBF"/>
              <w:bottom w:val="single" w:sz="4" w:color="BFBFBF"/>
              <w:right w:val="single" w:sz="4" w:color="BFBFBF"/>
            </w:tcBorders>
            <w:vAlign w:val="center"/>
          </w:tcPr>
          <w:p>
            <w:r/>
            <w:r>
              <w:rPr>
                <w:b w:val="0"/>
                <w:sz w:val="20"/>
              </w:rPr>
              <w:t xml:space="preserve">Weigh Reagents</w:t>
            </w:r>
          </w:p>
        </w:tc>
        <w:tc>
          <w:tcPr>
            <w:tcW w:type="dxa" w:w="1680"/>
            <w:tcBorders>
              <w:top w:val="single" w:sz="4" w:color="BFBFBF"/>
              <w:left w:val="single" w:sz="4" w:color="BFBFBF"/>
              <w:bottom w:val="single" w:sz="4" w:color="BFBFBF"/>
              <w:right w:val="single" w:sz="4" w:color="BFBFBF"/>
            </w:tcBorders>
            <w:vAlign w:val="center"/>
          </w:tcPr>
          <w:p>
            <w:r/>
            <w:r>
              <w:rPr>
                <w:b w:val="0"/>
                <w:sz w:val="18"/>
              </w:rPr>
              <w:t xml:space="preserve">Weigh NaCl and KCl. NaCl: 8, and KCl: 0.2.</w:t>
            </w:r>
          </w:p>
        </w:tc>
        <w:tc>
          <w:tcPr>
            <w:tcW w:type="dxa" w:w="1680"/>
            <w:tcBorders>
              <w:top w:val="single" w:sz="4" w:color="BFBFBF"/>
              <w:left w:val="single" w:sz="4" w:color="BFBFBF"/>
              <w:bottom w:val="single" w:sz="4" w:color="BFBFBF"/>
              <w:right w:val="single" w:sz="4" w:color="BFBFBF"/>
            </w:tcBorders>
          </w:tcPr>
          <w:p>
            <w:r/>
            <w:r>
              <w:rPr>
                <w:sz w:val="20"/>
              </w:rPr>
              <w:t xml:space="preserve"/>
            </w:r>
            <w:r>
              <w:rPr>
                <w:sz w:val="101600"/>
                <w:szCs w:val="101600"/>
                <w:b/>
              </w:rPr>
              <w:t xml:space="preserve">NaCl (g): </w:t>
            </w:r>
            <w:r>
              <w:rPr>
                <w:sz w:val="101600"/>
                <w:szCs w:val="101600"/>
              </w:rPr>
              <w:t xml:space="preserve">8.01</w:t>
            </w:r>
            <w:r>
              <w:t xml:space="preserve"/>
            </w:r>
          </w:p>
          <w:p>
            <w:r>
              <w:t xml:space="preserve"/>
            </w:r>
            <w:r>
              <w:rPr>
                <w:sz w:val="101600"/>
                <w:szCs w:val="101600"/>
                <w:b/>
              </w:rPr>
              <w:t xml:space="preserve">KCl (g): </w:t>
            </w:r>
            <w:r>
              <w:rPr>
                <w:sz w:val="101600"/>
                <w:szCs w:val="101600"/>
              </w:rPr>
              <w:t xml:space="preserve">0.2</w:t>
            </w:r>
            <w:r>
              <w:t xml:space="preserve"/>
            </w:r>
          </w:p>
        </w:tc>
        <w:tc>
          <w:tcPr>
            <w:tcW w:type="dxa" w:w="1680"/>
            <w:tcBorders>
              <w:top w:val="single" w:sz="4" w:color="BFBFBF"/>
              <w:left w:val="single" w:sz="4" w:color="BFBFBF"/>
              <w:bottom w:val="single" w:sz="4" w:color="BFBFBF"/>
              <w:right w:val="single" w:sz="4" w:color="BFBFBF"/>
            </w:tcBorders>
            <w:vAlign w:val="center"/>
          </w:tcPr>
          <w:p>
            <w:pPr>
              <w:jc w:val="center"/>
            </w:pPr>
            <w:r/>
            <w:r>
              <w:rPr>
                <w:b w:val="0"/>
                <w:sz w:val="20"/>
              </w:rPr>
              <w:t xml:space="preserve">D.S.C.</w:t>
            </w:r>
          </w:p>
        </w:tc>
        <w:tc>
          <w:tcPr>
            <w:tcW w:type="dxa" w:w="1680"/>
            <w:tcBorders>
              <w:top w:val="single" w:sz="4" w:color="BFBFBF"/>
              <w:left w:val="single" w:sz="4" w:color="BFBFBF"/>
              <w:bottom w:val="single" w:sz="4" w:color="BFBFBF"/>
              <w:right w:val="single" w:sz="4" w:color="BFBFBF"/>
            </w:tcBorders>
            <w:vAlign w:val="center"/>
          </w:tcPr>
          <w:p>
            <w:r/>
            <w:r>
              <w:rPr>
                <w:b w:val="0"/>
                <w:sz w:val="20"/>
              </w:rPr>
            </w:r>
          </w:p>
        </w:tc>
      </w:tr>
      <w:tr>
        <w:tc>
          <w:tcPr>
            <w:tcW w:type="dxa" w:w="1680"/>
            <w:tcBorders>
              <w:top w:val="single" w:sz="4" w:color="BFBFBF"/>
              <w:left w:val="single" w:sz="4" w:color="BFBFBF"/>
              <w:bottom w:val="single" w:sz="4" w:color="BFBFBF"/>
              <w:right w:val="single" w:sz="4" w:color="BFBFBF"/>
            </w:tcBorders>
            <w:vAlign w:val="center"/>
          </w:tcPr>
          <w:p>
            <w:pPr>
              <w:jc w:val="center"/>
            </w:pPr>
            <w:r/>
            <w:r>
              <w:rPr>
                <w:b w:val="0"/>
                <w:sz w:val="20"/>
              </w:rPr>
              <w:t xml:space="preserve">2</w:t>
            </w:r>
          </w:p>
        </w:tc>
        <w:tc>
          <w:tcPr>
            <w:tcW w:type="dxa" w:w="1680"/>
            <w:tcBorders>
              <w:top w:val="single" w:sz="4" w:color="BFBFBF"/>
              <w:left w:val="single" w:sz="4" w:color="BFBFBF"/>
              <w:bottom w:val="single" w:sz="4" w:color="BFBFBF"/>
              <w:right w:val="single" w:sz="4" w:color="BFBFBF"/>
            </w:tcBorders>
            <w:vAlign w:val="center"/>
          </w:tcPr>
          <w:p>
            <w:r/>
            <w:r>
              <w:rPr>
                <w:b w:val="0"/>
                <w:sz w:val="20"/>
              </w:rPr>
              <w:t xml:space="preserve">Dissolve</w:t>
            </w:r>
          </w:p>
        </w:tc>
        <w:tc>
          <w:tcPr>
            <w:tcW w:type="dxa" w:w="1680"/>
            <w:tcBorders>
              <w:top w:val="single" w:sz="4" w:color="BFBFBF"/>
              <w:left w:val="single" w:sz="4" w:color="BFBFBF"/>
              <w:bottom w:val="single" w:sz="4" w:color="BFBFBF"/>
              <w:right w:val="single" w:sz="4" w:color="BFBFBF"/>
            </w:tcBorders>
            <w:vAlign w:val="center"/>
          </w:tcPr>
          <w:p>
            <w:r/>
            <w:r>
              <w:rPr>
                <w:b w:val="0"/>
                <w:sz w:val="18"/>
              </w:rPr>
              <w:t xml:space="preserve">Add to 1000 mL water and stir.</w:t>
            </w:r>
          </w:p>
        </w:tc>
        <w:tc>
          <w:tcPr>
            <w:tcW w:type="dxa" w:w="1680"/>
            <w:tcBorders>
              <w:top w:val="single" w:sz="4" w:color="BFBFBF"/>
              <w:left w:val="single" w:sz="4" w:color="BFBFBF"/>
              <w:bottom w:val="single" w:sz="4" w:color="BFBFBF"/>
              <w:right w:val="single" w:sz="4" w:color="BFBFBF"/>
            </w:tcBorders>
          </w:tcPr>
          <w:p>
            <w:r/>
            <w:r>
              <w:rPr>
                <w:sz w:val="20"/>
              </w:rPr>
              <w:t xml:space="preserve"/>
            </w:r>
            <w:r>
              <w:rPr>
                <w:sz w:val="101600"/>
                <w:szCs w:val="101600"/>
              </w:rPr>
              <w:t xml:space="preserve">1000</w:t>
            </w:r>
            <w:r>
              <w:t xml:space="preserve"/>
            </w:r>
          </w:p>
        </w:tc>
        <w:tc>
          <w:tcPr>
            <w:tcW w:type="dxa" w:w="1680"/>
            <w:tcBorders>
              <w:top w:val="single" w:sz="4" w:color="BFBFBF"/>
              <w:left w:val="single" w:sz="4" w:color="BFBFBF"/>
              <w:bottom w:val="single" w:sz="4" w:color="BFBFBF"/>
              <w:right w:val="single" w:sz="4" w:color="BFBFBF"/>
            </w:tcBorders>
            <w:vAlign w:val="center"/>
          </w:tcPr>
          <w:p>
            <w:pPr>
              <w:jc w:val="center"/>
            </w:pPr>
            <w:r/>
            <w:r>
              <w:rPr>
                <w:b w:val="0"/>
                <w:sz w:val="20"/>
              </w:rPr>
              <w:t xml:space="preserve">D.S.C.</w:t>
            </w:r>
          </w:p>
        </w:tc>
        <w:tc>
          <w:tcPr>
            <w:tcW w:type="dxa" w:w="1680"/>
            <w:tcBorders>
              <w:top w:val="single" w:sz="4" w:color="BFBFBF"/>
              <w:left w:val="single" w:sz="4" w:color="BFBFBF"/>
              <w:bottom w:val="single" w:sz="4" w:color="BFBFBF"/>
              <w:right w:val="single" w:sz="4" w:color="BFBFBF"/>
            </w:tcBorders>
            <w:vAlign w:val="center"/>
          </w:tcPr>
          <w:p>
            <w:r/>
            <w:r>
              <w:rPr>
                <w:b w:val="0"/>
                <w:sz w:val="20"/>
              </w:rPr>
            </w:r>
          </w:p>
        </w:tc>
      </w:tr>
    </w:tbl>
    <w:p>
      <w:pPr>
        <w:spacing w:before="200" w:after="80"/>
      </w:pPr>
      <w:r>
        <w:rPr>
          <w:b/>
          <w:color w:val="1F2937"/>
          <w:sz w:val="24"/>
        </w:rPr>
        <w:t xml:space="preserve">4.2  QC</w:t>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Step</w:t>
            </w:r>
          </w:p>
        </w:tc>
        <w:tc>
          <w:tcPr>
            <w:tcW w:type="dxa" w:w="168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Instruction</w:t>
            </w:r>
          </w:p>
        </w:tc>
        <w:tc>
          <w:tcPr>
            <w:tcW w:type="dxa" w:w="168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Target Parameter</w:t>
            </w:r>
          </w:p>
        </w:tc>
        <w:tc>
          <w:tcPr>
            <w:tcW w:type="dxa" w:w="168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Actual Value</w:t>
            </w:r>
          </w:p>
        </w:tc>
        <w:tc>
          <w:tcPr>
            <w:tcW w:type="dxa" w:w="168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Operator</w:t>
            </w:r>
          </w:p>
        </w:tc>
        <w:tc>
          <w:tcPr>
            <w:tcW w:type="dxa" w:w="168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Verifier</w:t>
            </w:r>
          </w:p>
        </w:tc>
      </w:tr>
      <w:tr>
        <w:tc>
          <w:tcPr>
            <w:tcW w:type="dxa" w:w="1680"/>
            <w:tcBorders>
              <w:top w:val="single" w:sz="4" w:color="BFBFBF"/>
              <w:left w:val="single" w:sz="4" w:color="BFBFBF"/>
              <w:bottom w:val="single" w:sz="4" w:color="BFBFBF"/>
              <w:right w:val="single" w:sz="4" w:color="BFBFBF"/>
            </w:tcBorders>
            <w:vAlign w:val="center"/>
          </w:tcPr>
          <w:p>
            <w:pPr>
              <w:jc w:val="center"/>
            </w:pPr>
            <w:r/>
            <w:r>
              <w:rPr>
                <w:b w:val="0"/>
                <w:sz w:val="20"/>
              </w:rPr>
              <w:t xml:space="preserve">1</w:t>
            </w:r>
          </w:p>
        </w:tc>
        <w:tc>
          <w:tcPr>
            <w:tcW w:type="dxa" w:w="1680"/>
            <w:tcBorders>
              <w:top w:val="single" w:sz="4" w:color="BFBFBF"/>
              <w:left w:val="single" w:sz="4" w:color="BFBFBF"/>
              <w:bottom w:val="single" w:sz="4" w:color="BFBFBF"/>
              <w:right w:val="single" w:sz="4" w:color="BFBFBF"/>
            </w:tcBorders>
            <w:vAlign w:val="center"/>
          </w:tcPr>
          <w:p>
            <w:r/>
            <w:r>
              <w:rPr>
                <w:b w:val="0"/>
                <w:sz w:val="20"/>
              </w:rPr>
              <w:t xml:space="preserve">Measure pH</w:t>
            </w:r>
          </w:p>
        </w:tc>
        <w:tc>
          <w:tcPr>
            <w:tcW w:type="dxa" w:w="1680"/>
            <w:tcBorders>
              <w:top w:val="single" w:sz="4" w:color="BFBFBF"/>
              <w:left w:val="single" w:sz="4" w:color="BFBFBF"/>
              <w:bottom w:val="single" w:sz="4" w:color="BFBFBF"/>
              <w:right w:val="single" w:sz="4" w:color="BFBFBF"/>
            </w:tcBorders>
            <w:vAlign w:val="center"/>
          </w:tcPr>
          <w:p>
            <w:r/>
            <w:r>
              <w:rPr>
                <w:b w:val="0"/>
                <w:sz w:val="18"/>
              </w:rPr>
              <w:t xml:space="preserve">Measure and adjust pH. Target pH: 7.4.</w:t>
            </w:r>
          </w:p>
        </w:tc>
        <w:tc>
          <w:tcPr>
            <w:tcW w:type="dxa" w:w="1680"/>
            <w:tcBorders>
              <w:top w:val="single" w:sz="4" w:color="BFBFBF"/>
              <w:left w:val="single" w:sz="4" w:color="BFBFBF"/>
              <w:bottom w:val="single" w:sz="4" w:color="BFBFBF"/>
              <w:right w:val="single" w:sz="4" w:color="BFBFBF"/>
            </w:tcBorders>
          </w:tcPr>
          <w:p>
            <w:r/>
            <w:r>
              <w:rPr>
                <w:sz w:val="20"/>
              </w:rPr>
              <w:t xml:space="preserve"/>
            </w:r>
            <w:r>
              <w:rPr>
                <w:sz w:val="101600"/>
                <w:szCs w:val="101600"/>
              </w:rPr>
              <w:t xml:space="preserve">7.38</w:t>
            </w:r>
            <w:r>
              <w:t xml:space="preserve"/>
            </w:r>
          </w:p>
        </w:tc>
        <w:tc>
          <w:tcPr>
            <w:tcW w:type="dxa" w:w="1680"/>
            <w:tcBorders>
              <w:top w:val="single" w:sz="4" w:color="BFBFBF"/>
              <w:left w:val="single" w:sz="4" w:color="BFBFBF"/>
              <w:bottom w:val="single" w:sz="4" w:color="BFBFBF"/>
              <w:right w:val="single" w:sz="4" w:color="BFBFBF"/>
            </w:tcBorders>
            <w:vAlign w:val="center"/>
          </w:tcPr>
          <w:p>
            <w:pPr>
              <w:jc w:val="center"/>
            </w:pPr>
            <w:r/>
            <w:r>
              <w:rPr>
                <w:b w:val="0"/>
                <w:sz w:val="20"/>
              </w:rPr>
              <w:t xml:space="preserve">J.W.</w:t>
            </w:r>
          </w:p>
        </w:tc>
        <w:tc>
          <w:tcPr>
            <w:tcW w:type="dxa" w:w="1680"/>
            <w:tcBorders>
              <w:top w:val="single" w:sz="4" w:color="BFBFBF"/>
              <w:left w:val="single" w:sz="4" w:color="BFBFBF"/>
              <w:bottom w:val="single" w:sz="4" w:color="BFBFBF"/>
              <w:right w:val="single" w:sz="4" w:color="BFBFBF"/>
            </w:tcBorders>
            <w:vAlign w:val="center"/>
          </w:tcPr>
          <w:p>
            <w:r/>
            <w:r>
              <w:rPr>
                <w:b w:val="0"/>
                <w:sz w:val="20"/>
              </w:rPr>
            </w:r>
          </w:p>
        </w:tc>
      </w:tr>
    </w:tbl>
    <w:p>
      <w:pPr>
        <w:spacing w:before="240" w:after="80"/>
      </w:pPr>
      <w:r>
        <w:rPr>
          <w:b/>
          <w:color w:val="1F2937"/>
          <w:sz w:val="28"/>
        </w:rPr>
        <w:t>5. Deviations and Process Comments</w:t>
      </w:r>
    </w:p>
    <w:p>
      <w:r>
        <w:rPr>
          <w:b w:val="0"/>
          <w:i/>
          <w:color w:val="64748B"/>
          <w:sz w:val="18"/>
        </w:rPr>
        <w:t>Log any deviations from the target parameters or standard operating procedures. In development/tox runs, deviations are expected; the key is rigorous documentation. Run notes are surfaced here.</w:t>
      </w:r>
    </w:p>
    <w:tbl>
      <w:tblPr>
        <w:tblW w:type="auto" w:w="0"/>
        <w:tblLook w:firstColumn="1" w:firstRow="1" w:lastColumn="0" w:lastRow="0" w:noHBand="0" w:noVBand="1" w:val="04A0"/>
      </w:tblPr>
      <w:tblGrid>
        <w:gridCol w:w="2520"/>
        <w:gridCol w:w="2520"/>
        <w:gridCol w:w="2520"/>
        <w:gridCol w:w="2520"/>
      </w:tblGrid>
      <w:tr>
        <w:tc>
          <w:tcPr>
            <w:tcW w:type="dxa" w:w="252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Step / Status Ref.</w:t>
            </w:r>
          </w:p>
        </w:tc>
        <w:tc>
          <w:tcPr>
            <w:tcW w:type="dxa" w:w="252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Description of Deviation / Observation</w:t>
            </w:r>
          </w:p>
        </w:tc>
        <w:tc>
          <w:tcPr>
            <w:tcW w:type="dxa" w:w="252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Impact Assessment Required? (Y/N)</w:t>
            </w:r>
          </w:p>
        </w:tc>
        <w:tc>
          <w:tcPr>
            <w:tcW w:type="dxa" w:w="252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Lead Reviewer Sign-off</w:t>
            </w:r>
          </w:p>
        </w:tc>
      </w:tr>
      <w:tr>
        <w:tc>
          <w:tcPr>
            <w:tcW w:type="dxa" w:w="2520"/>
            <w:tcBorders>
              <w:top w:val="single" w:sz="4" w:color="BFBFBF"/>
              <w:left w:val="single" w:sz="4" w:color="BFBFBF"/>
              <w:bottom w:val="single" w:sz="4" w:color="BFBFBF"/>
              <w:right w:val="single" w:sz="4" w:color="BFBFBF"/>
            </w:tcBorders>
            <w:vAlign w:val="center"/>
          </w:tcPr>
          <w:p>
            <w:r/>
            <w:r>
              <w:rPr>
                <w:b w:val="0"/>
                <w:sz w:val="20"/>
              </w:rPr>
              <w:t xml:space="preserve">ACTIVE</w:t>
            </w:r>
          </w:p>
        </w:tc>
        <w:tc>
          <w:tcPr>
            <w:tcW w:type="dxa" w:w="2520"/>
            <w:tcBorders>
              <w:top w:val="single" w:sz="4" w:color="BFBFBF"/>
              <w:left w:val="single" w:sz="4" w:color="BFBFBF"/>
              <w:bottom w:val="single" w:sz="4" w:color="BFBFBF"/>
              <w:right w:val="single" w:sz="4" w:color="BFBFBF"/>
            </w:tcBorders>
            <w:vAlign w:val="center"/>
          </w:tcPr>
          <w:p>
            <w:r/>
            <w:r>
              <w:rPr>
                <w:b w:val="0"/>
                <w:sz w:val="20"/>
              </w:rPr>
              <w:t xml:space="preserve">Observed slight turbidity after buffer prep.</w:t>
            </w:r>
          </w:p>
        </w:tc>
        <w:tc>
          <w:tcPr>
            <w:tcW w:type="dxa" w:w="2520"/>
            <w:tcBorders>
              <w:top w:val="single" w:sz="4" w:color="BFBFBF"/>
              <w:left w:val="single" w:sz="4" w:color="BFBFBF"/>
              <w:bottom w:val="single" w:sz="4" w:color="BFBFBF"/>
              <w:right w:val="single" w:sz="4" w:color="BFBFBF"/>
            </w:tcBorders>
            <w:vAlign w:val="center"/>
          </w:tcPr>
          <w:p>
            <w:r/>
            <w:r>
              <w:rPr>
                <w:b w:val="0"/>
                <w:sz w:val="20"/>
              </w:rPr>
            </w:r>
          </w:p>
        </w:tc>
        <w:tc>
          <w:tcPr>
            <w:tcW w:type="dxa" w:w="2520"/>
            <w:tcBorders>
              <w:top w:val="single" w:sz="4" w:color="BFBFBF"/>
              <w:left w:val="single" w:sz="4" w:color="BFBFBF"/>
              <w:bottom w:val="single" w:sz="4" w:color="BFBFBF"/>
              <w:right w:val="single" w:sz="4" w:color="BFBFBF"/>
            </w:tcBorders>
            <w:vAlign w:val="center"/>
          </w:tcPr>
          <w:p>
            <w:r/>
            <w:r>
              <w:rPr>
                <w:b w:val="0"/>
                <w:sz w:val="18"/>
              </w:rPr>
              <w:t xml:space="preserve">Dr. Sarah Chen</w:t>
              <w:br/>
              <w:t xml:space="preserve">2026-04-01 10:35:00</w:t>
            </w:r>
          </w:p>
        </w:tc>
      </w:tr>
      <w:tr>
        <w:tc>
          <w:tcPr>
            <w:tcW w:type="dxa" w:w="2520"/>
            <w:tcBorders>
              <w:top w:val="single" w:sz="4" w:color="BFBFBF"/>
              <w:left w:val="single" w:sz="4" w:color="BFBFBF"/>
              <w:bottom w:val="single" w:sz="4" w:color="BFBFBF"/>
              <w:right w:val="single" w:sz="4" w:color="BFBFBF"/>
            </w:tcBorders>
            <w:vAlign w:val="center"/>
          </w:tcPr>
          <w:p>
            <w:r/>
            <w:r>
              <w:rPr>
                <w:b w:val="0"/>
                <w:sz w:val="20"/>
              </w:rPr>
              <w:t xml:space="preserve">ACTIVE</w:t>
            </w:r>
          </w:p>
        </w:tc>
        <w:tc>
          <w:tcPr>
            <w:tcW w:type="dxa" w:w="2520"/>
            <w:tcBorders>
              <w:top w:val="single" w:sz="4" w:color="BFBFBF"/>
              <w:left w:val="single" w:sz="4" w:color="BFBFBF"/>
              <w:bottom w:val="single" w:sz="4" w:color="BFBFBF"/>
              <w:right w:val="single" w:sz="4" w:color="BFBFBF"/>
            </w:tcBorders>
            <w:vAlign w:val="center"/>
          </w:tcPr>
          <w:p>
            <w:r/>
            <w:r>
              <w:rPr>
                <w:b w:val="0"/>
                <w:sz w:val="20"/>
              </w:rPr>
              <w:t xml:space="preserve">[ANOMALY] ANOMALY: Cell viability below threshold at 85%.</w:t>
            </w:r>
          </w:p>
        </w:tc>
        <w:tc>
          <w:tcPr>
            <w:tcW w:type="dxa" w:w="2520"/>
            <w:tcBorders>
              <w:top w:val="single" w:sz="4" w:color="BFBFBF"/>
              <w:left w:val="single" w:sz="4" w:color="BFBFBF"/>
              <w:bottom w:val="single" w:sz="4" w:color="BFBFBF"/>
              <w:right w:val="single" w:sz="4" w:color="BFBFBF"/>
            </w:tcBorders>
            <w:vAlign w:val="center"/>
          </w:tcPr>
          <w:p>
            <w:r/>
            <w:r>
              <w:rPr>
                <w:b w:val="0"/>
                <w:sz w:val="20"/>
              </w:rPr>
            </w:r>
          </w:p>
        </w:tc>
        <w:tc>
          <w:tcPr>
            <w:tcW w:type="dxa" w:w="2520"/>
            <w:tcBorders>
              <w:top w:val="single" w:sz="4" w:color="BFBFBF"/>
              <w:left w:val="single" w:sz="4" w:color="BFBFBF"/>
              <w:bottom w:val="single" w:sz="4" w:color="BFBFBF"/>
              <w:right w:val="single" w:sz="4" w:color="BFBFBF"/>
            </w:tcBorders>
            <w:vAlign w:val="center"/>
          </w:tcPr>
          <w:p>
            <w:r/>
            <w:r>
              <w:rPr>
                <w:b w:val="0"/>
                <w:sz w:val="18"/>
              </w:rPr>
              <w:t xml:space="preserve">Dr. Sarah Chen</w:t>
              <w:br/>
              <w:t xml:space="preserve">2026-04-01 11:20:00</w:t>
            </w:r>
          </w:p>
        </w:tc>
      </w:tr>
      <w:tr>
        <w:tc>
          <w:tcPr>
            <w:tcW w:type="dxa" w:w="2520"/>
            <w:tcBorders>
              <w:top w:val="single" w:sz="4" w:color="BFBFBF"/>
              <w:left w:val="single" w:sz="4" w:color="BFBFBF"/>
              <w:bottom w:val="single" w:sz="4" w:color="BFBFBF"/>
              <w:right w:val="single" w:sz="4" w:color="BFBFBF"/>
            </w:tcBorders>
            <w:vAlign w:val="center"/>
          </w:tcPr>
          <w:p>
            <w:r/>
            <w:r>
              <w:rPr>
                <w:b w:val="0"/>
                <w:sz w:val="20"/>
              </w:rPr>
            </w:r>
          </w:p>
        </w:tc>
        <w:tc>
          <w:tcPr>
            <w:tcW w:type="dxa" w:w="2520"/>
            <w:tcBorders>
              <w:top w:val="single" w:sz="4" w:color="BFBFBF"/>
              <w:left w:val="single" w:sz="4" w:color="BFBFBF"/>
              <w:bottom w:val="single" w:sz="4" w:color="BFBFBF"/>
              <w:right w:val="single" w:sz="4" w:color="BFBFBF"/>
            </w:tcBorders>
            <w:vAlign w:val="center"/>
          </w:tcPr>
          <w:p>
            <w:r/>
            <w:r>
              <w:rPr>
                <w:b w:val="0"/>
                <w:sz w:val="20"/>
              </w:rPr>
            </w:r>
          </w:p>
        </w:tc>
        <w:tc>
          <w:tcPr>
            <w:tcW w:type="dxa" w:w="2520"/>
            <w:tcBorders>
              <w:top w:val="single" w:sz="4" w:color="BFBFBF"/>
              <w:left w:val="single" w:sz="4" w:color="BFBFBF"/>
              <w:bottom w:val="single" w:sz="4" w:color="BFBFBF"/>
              <w:right w:val="single" w:sz="4" w:color="BFBFBF"/>
            </w:tcBorders>
            <w:vAlign w:val="center"/>
          </w:tcPr>
          <w:p>
            <w:r/>
            <w:r>
              <w:rPr>
                <w:b w:val="0"/>
                <w:sz w:val="20"/>
              </w:rPr>
            </w:r>
          </w:p>
        </w:tc>
        <w:tc>
          <w:tcPr>
            <w:tcW w:type="dxa" w:w="2520"/>
            <w:tcBorders>
              <w:top w:val="single" w:sz="4" w:color="BFBFBF"/>
              <w:left w:val="single" w:sz="4" w:color="BFBFBF"/>
              <w:bottom w:val="single" w:sz="4" w:color="BFBFBF"/>
              <w:right w:val="single" w:sz="4" w:color="BFBFBF"/>
            </w:tcBorders>
            <w:vAlign w:val="center"/>
          </w:tcPr>
          <w:p>
            <w:r/>
            <w:r>
              <w:rPr>
                <w:b w:val="0"/>
                <w:sz w:val="20"/>
              </w:rPr>
            </w:r>
          </w:p>
        </w:tc>
      </w:tr>
    </w:tbl>
    <w:p>
      <w:pPr>
        <w:spacing w:before="240" w:after="80"/>
      </w:pPr>
      <w:r>
        <w:rPr>
          <w:b/>
          <w:color w:val="1F2937"/>
          <w:sz w:val="28"/>
        </w:rPr>
        <w:t>6. Final Disposition &amp; Signatures</w:t>
      </w:r>
    </w:p>
    <w:p>
      <w:r>
        <w:rPr>
          <w:b w:val="0"/>
          <w:i/>
          <w:color w:val="64748B"/>
          <w:sz w:val="18"/>
        </w:rPr>
        <w:t>By signing below, I certify that the material described herein was produced according to the specified process instructions and that all deviations have been reviewed and assessed for impact on the suitability of the material for its intended non-clinical use.</w:t>
      </w:r>
    </w:p>
    <w:p>
      <w:r>
        <w:rPr>
          <w:b/>
          <w:i w:val="0"/>
          <w:sz w:val="22"/>
        </w:rPr>
        <w:t>Wet-Ink Sign-Off</w:t>
      </w:r>
    </w:p>
    <w:tbl>
      <w:tblPr>
        <w:tblW w:type="auto" w:w="0"/>
        <w:tblLook w:firstColumn="1" w:firstRow="1" w:lastColumn="0" w:lastRow="0" w:noHBand="0" w:noVBand="1" w:val="04A0"/>
      </w:tblPr>
      <w:tblGrid>
        <w:gridCol w:w="2520"/>
        <w:gridCol w:w="2520"/>
        <w:gridCol w:w="2520"/>
        <w:gridCol w:w="2520"/>
      </w:tblGrid>
      <w:tr>
        <w:tc>
          <w:tcPr>
            <w:tcW w:type="dxa" w:w="252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Role</w:t>
            </w:r>
          </w:p>
        </w:tc>
        <w:tc>
          <w:tcPr>
            <w:tcW w:type="dxa" w:w="252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Name (Print)</w:t>
            </w:r>
          </w:p>
        </w:tc>
        <w:tc>
          <w:tcPr>
            <w:tcW w:type="dxa" w:w="252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Signature</w:t>
            </w:r>
          </w:p>
        </w:tc>
        <w:tc>
          <w:tcPr>
            <w:tcW w:type="dxa" w:w="2520"/>
            <w:shd w:val="clear" w:color="auto" w:fill="1F2937"/>
            <w:tcBorders>
              <w:top w:val="single" w:sz="4" w:color="BFBFBF"/>
              <w:left w:val="single" w:sz="4" w:color="BFBFBF"/>
              <w:bottom w:val="single" w:sz="4" w:color="BFBFBF"/>
              <w:right w:val="single" w:sz="4" w:color="BFBFBF"/>
            </w:tcBorders>
            <w:vAlign w:val="center"/>
          </w:tcPr>
          <w:p>
            <w:r/>
            <w:r>
              <w:rPr>
                <w:b/>
                <w:color w:val="FFFFFF"/>
                <w:sz w:val="20"/>
              </w:rPr>
              <w:t>Date</w:t>
            </w:r>
          </w:p>
        </w:tc>
      </w:tr>
      <w:tr>
        <w:tc>
          <w:tcPr>
            <w:tcW w:type="dxa" w:w="2520"/>
            <w:shd w:val="clear" w:color="auto" w:fill="F1F5F9"/>
            <w:tcBorders>
              <w:top w:val="single" w:sz="4" w:color="BFBFBF"/>
              <w:left w:val="single" w:sz="4" w:color="BFBFBF"/>
              <w:bottom w:val="single" w:sz="4" w:color="BFBFBF"/>
              <w:right w:val="single" w:sz="4" w:color="BFBFBF"/>
            </w:tcBorders>
            <w:vAlign w:val="center"/>
          </w:tcPr>
          <w:p>
            <w:r/>
            <w:r>
              <w:rPr>
                <w:b/>
                <w:sz w:val="20"/>
              </w:rPr>
              <w:t>Lead Operator / Engineer</w:t>
            </w:r>
          </w:p>
        </w:tc>
        <w:tc>
          <w:tcPr>
            <w:tcW w:type="dxa" w:w="2520"/>
            <w:tcBorders>
              <w:top w:val="single" w:sz="4" w:color="BFBFBF"/>
              <w:left w:val="single" w:sz="4" w:color="BFBFBF"/>
              <w:bottom w:val="single" w:sz="4" w:color="BFBFBF"/>
              <w:right w:val="single" w:sz="4" w:color="BFBFBF"/>
            </w:tcBorders>
            <w:vAlign w:val="center"/>
          </w:tcPr>
          <w:p>
            <w:r/>
            <w:r>
              <w:rPr>
                <w:b w:val="0"/>
                <w:sz w:val="20"/>
              </w:rPr>
            </w:r>
          </w:p>
        </w:tc>
        <w:tc>
          <w:tcPr>
            <w:tcW w:type="dxa" w:w="2520"/>
            <w:tcBorders>
              <w:top w:val="single" w:sz="4" w:color="BFBFBF"/>
              <w:left w:val="single" w:sz="4" w:color="BFBFBF"/>
              <w:bottom w:val="single" w:sz="4" w:color="BFBFBF"/>
              <w:right w:val="single" w:sz="4" w:color="BFBFBF"/>
            </w:tcBorders>
            <w:vAlign w:val="center"/>
          </w:tcPr>
          <w:p>
            <w:r/>
            <w:r>
              <w:rPr>
                <w:b w:val="0"/>
                <w:sz w:val="20"/>
              </w:rPr>
            </w:r>
          </w:p>
        </w:tc>
        <w:tc>
          <w:tcPr>
            <w:tcW w:type="dxa" w:w="2520"/>
            <w:tcBorders>
              <w:top w:val="single" w:sz="4" w:color="BFBFBF"/>
              <w:left w:val="single" w:sz="4" w:color="BFBFBF"/>
              <w:bottom w:val="single" w:sz="4" w:color="BFBFBF"/>
              <w:right w:val="single" w:sz="4" w:color="BFBFBF"/>
            </w:tcBorders>
            <w:vAlign w:val="center"/>
          </w:tcPr>
          <w:p>
            <w:r/>
            <w:r>
              <w:rPr>
                <w:b w:val="0"/>
                <w:sz w:val="20"/>
              </w:rPr>
            </w:r>
          </w:p>
        </w:tc>
      </w:tr>
      <w:tr>
        <w:tc>
          <w:tcPr>
            <w:tcW w:type="dxa" w:w="2520"/>
            <w:shd w:val="clear" w:color="auto" w:fill="F1F5F9"/>
            <w:tcBorders>
              <w:top w:val="single" w:sz="4" w:color="BFBFBF"/>
              <w:left w:val="single" w:sz="4" w:color="BFBFBF"/>
              <w:bottom w:val="single" w:sz="4" w:color="BFBFBF"/>
              <w:right w:val="single" w:sz="4" w:color="BFBFBF"/>
            </w:tcBorders>
            <w:vAlign w:val="center"/>
          </w:tcPr>
          <w:p>
            <w:r/>
            <w:r>
              <w:rPr>
                <w:b/>
                <w:sz w:val="20"/>
              </w:rPr>
              <w:t>Process Development Lead</w:t>
            </w:r>
          </w:p>
        </w:tc>
        <w:tc>
          <w:tcPr>
            <w:tcW w:type="dxa" w:w="2520"/>
            <w:tcBorders>
              <w:top w:val="single" w:sz="4" w:color="BFBFBF"/>
              <w:left w:val="single" w:sz="4" w:color="BFBFBF"/>
              <w:bottom w:val="single" w:sz="4" w:color="BFBFBF"/>
              <w:right w:val="single" w:sz="4" w:color="BFBFBF"/>
            </w:tcBorders>
            <w:vAlign w:val="center"/>
          </w:tcPr>
          <w:p>
            <w:r/>
            <w:r>
              <w:rPr>
                <w:b w:val="0"/>
                <w:sz w:val="20"/>
              </w:rPr>
            </w:r>
          </w:p>
        </w:tc>
        <w:tc>
          <w:tcPr>
            <w:tcW w:type="dxa" w:w="2520"/>
            <w:tcBorders>
              <w:top w:val="single" w:sz="4" w:color="BFBFBF"/>
              <w:left w:val="single" w:sz="4" w:color="BFBFBF"/>
              <w:bottom w:val="single" w:sz="4" w:color="BFBFBF"/>
              <w:right w:val="single" w:sz="4" w:color="BFBFBF"/>
            </w:tcBorders>
            <w:vAlign w:val="center"/>
          </w:tcPr>
          <w:p>
            <w:r/>
            <w:r>
              <w:rPr>
                <w:b w:val="0"/>
                <w:sz w:val="20"/>
              </w:rPr>
            </w:r>
          </w:p>
        </w:tc>
        <w:tc>
          <w:tcPr>
            <w:tcW w:type="dxa" w:w="2520"/>
            <w:tcBorders>
              <w:top w:val="single" w:sz="4" w:color="BFBFBF"/>
              <w:left w:val="single" w:sz="4" w:color="BFBFBF"/>
              <w:bottom w:val="single" w:sz="4" w:color="BFBFBF"/>
              <w:right w:val="single" w:sz="4" w:color="BFBFBF"/>
            </w:tcBorders>
            <w:vAlign w:val="center"/>
          </w:tcPr>
          <w:p>
            <w:r/>
            <w:r>
              <w:rPr>
                <w:b w:val="0"/>
                <w:sz w:val="20"/>
              </w:rPr>
            </w:r>
          </w:p>
        </w:tc>
      </w:tr>
      <w:tr>
        <w:tc>
          <w:tcPr>
            <w:tcW w:type="dxa" w:w="2520"/>
            <w:shd w:val="clear" w:color="auto" w:fill="F1F5F9"/>
            <w:tcBorders>
              <w:top w:val="single" w:sz="4" w:color="BFBFBF"/>
              <w:left w:val="single" w:sz="4" w:color="BFBFBF"/>
              <w:bottom w:val="single" w:sz="4" w:color="BFBFBF"/>
              <w:right w:val="single" w:sz="4" w:color="BFBFBF"/>
            </w:tcBorders>
            <w:vAlign w:val="center"/>
          </w:tcPr>
          <w:p>
            <w:r/>
            <w:r>
              <w:rPr>
                <w:b/>
                <w:sz w:val="20"/>
              </w:rPr>
              <w:t>Quality / Compliance (if applicable)</w:t>
            </w:r>
          </w:p>
        </w:tc>
        <w:tc>
          <w:tcPr>
            <w:tcW w:type="dxa" w:w="2520"/>
            <w:tcBorders>
              <w:top w:val="single" w:sz="4" w:color="BFBFBF"/>
              <w:left w:val="single" w:sz="4" w:color="BFBFBF"/>
              <w:bottom w:val="single" w:sz="4" w:color="BFBFBF"/>
              <w:right w:val="single" w:sz="4" w:color="BFBFBF"/>
            </w:tcBorders>
            <w:vAlign w:val="center"/>
          </w:tcPr>
          <w:p>
            <w:r/>
            <w:r>
              <w:rPr>
                <w:b w:val="0"/>
                <w:sz w:val="20"/>
              </w:rPr>
            </w:r>
          </w:p>
        </w:tc>
        <w:tc>
          <w:tcPr>
            <w:tcW w:type="dxa" w:w="2520"/>
            <w:tcBorders>
              <w:top w:val="single" w:sz="4" w:color="BFBFBF"/>
              <w:left w:val="single" w:sz="4" w:color="BFBFBF"/>
              <w:bottom w:val="single" w:sz="4" w:color="BFBFBF"/>
              <w:right w:val="single" w:sz="4" w:color="BFBFBF"/>
            </w:tcBorders>
            <w:vAlign w:val="center"/>
          </w:tcPr>
          <w:p>
            <w:r/>
            <w:r>
              <w:rPr>
                <w:b w:val="0"/>
                <w:sz w:val="20"/>
              </w:rPr>
            </w:r>
          </w:p>
        </w:tc>
        <w:tc>
          <w:tcPr>
            <w:tcW w:type="dxa" w:w="2520"/>
            <w:tcBorders>
              <w:top w:val="single" w:sz="4" w:color="BFBFBF"/>
              <w:left w:val="single" w:sz="4" w:color="BFBFBF"/>
              <w:bottom w:val="single" w:sz="4" w:color="BFBFBF"/>
              <w:right w:val="single" w:sz="4" w:color="BFBFBF"/>
            </w:tcBorders>
            <w:vAlign w:val="center"/>
          </w:tcPr>
          <w:p>
            <w:r/>
            <w:r>
              <w:rPr>
                <w:b w:val="0"/>
                <w:sz w:val="20"/>
              </w:rPr>
            </w:r>
          </w:p>
        </w:tc>
      </w:tr>
    </w:tbl>
    <w:p>
      <w:r>
        <w:rPr>
          <w:b w:val="0"/>
          <w:i w:val="0"/>
          <w:sz w:val="20"/>
        </w:rPr>
        <w:t xml:space="preserve"/>
      </w:r>
      <w:r>
        <w:t xml:space="preserve"/>
      </w:r>
    </w:p>
    <w:p>
      <w:r>
        <w:br w:type="page"/>
      </w:r>
    </w:p>
    <w:p>
      <w:r>
        <w:t xml:space="preserve"/>
      </w:r>
      <w:r>
        <w:t xml:space="preserve"/>
      </w:r>
    </w:p>
    <w:p>
      <w:pPr>
        <w:spacing w:before="240" w:after="80"/>
      </w:pPr>
      <w:r>
        <w:rPr>
          <w:b/>
          <w:color w:val="1F2937"/>
          <w:sz w:val="28"/>
        </w:rPr>
        <w:t>Appendix A: Figures</w:t>
      </w:r>
    </w:p>
    <w:p>
      <w:r>
        <w:rPr>
          <w:sz w:val="20"/>
        </w:rPr>
        <w:t xml:space="preserve"/>
      </w:r>
      <w:r>
        <w:drawing>
          <wp:inline xmlns:a="http://schemas.openxmlformats.org/drawingml/2006/main" xmlns:pic="http://schemas.openxmlformats.org/drawingml/2006/picture">
            <wp:extent cx="5400000" cy="4050000"/>
            <wp:docPr id="1001" name="Picture 1"/>
            <wp:cNvGraphicFramePr>
              <a:graphicFrameLocks noChangeAspect="1"/>
            </wp:cNvGraphicFramePr>
            <a:graphic>
              <a:graphicData uri="http://schemas.openxmlformats.org/drawingml/2006/picture">
                <pic:pic>
                  <pic:nvPicPr>
                    <pic:cNvPr id="0" name="test_figure_1.png"/>
                    <pic:cNvPicPr/>
                  </pic:nvPicPr>
                  <pic:blipFill>
                    <a:blip r:embed="rId9"/>
                    <a:stretch>
                      <a:fillRect/>
                    </a:stretch>
                  </pic:blipFill>
                  <pic:spPr>
                    <a:xfrm>
                      <a:off x="0" y="0"/>
                      <a:ext cx="5400000" cy="4050000"/>
                    </a:xfrm>
                    <a:prstGeom prst="rect"/>
                  </pic:spPr>
                </pic:pic>
              </a:graphicData>
            </a:graphic>
          </wp:inline>
        </w:drawing>
      </w:r>
      <w:r>
        <w:t xml:space="preserve"/>
      </w:r>
    </w:p>
    <w:p>
      <w:r>
        <w:rPr>
          <w:b w:val="0"/>
          <w:i/>
          <w:color w:val="475569"/>
          <w:sz w:val="18"/>
        </w:rPr>
        <w:t xml:space="preserve">Figure 1: test_figure_1.png  (Weigh Reagents, uploaded 2026-04-01 10:32)</w:t>
      </w:r>
    </w:p>
    <w:p>
      <w:r>
        <w:rPr>
          <w:sz w:val="20"/>
        </w:rPr>
        <w:t xml:space="preserve"/>
      </w:r>
      <w:r>
        <w:drawing>
          <wp:inline xmlns:a="http://schemas.openxmlformats.org/drawingml/2006/main" xmlns:pic="http://schemas.openxmlformats.org/drawingml/2006/picture">
            <wp:extent cx="5400000" cy="4050000"/>
            <wp:docPr id="1002" name="Picture 1"/>
            <wp:cNvGraphicFramePr>
              <a:graphicFrameLocks noChangeAspect="1"/>
            </wp:cNvGraphicFramePr>
            <a:graphic>
              <a:graphicData uri="http://schemas.openxmlformats.org/drawingml/2006/picture">
                <pic:pic>
                  <pic:nvPicPr>
                    <pic:cNvPr id="0" name="test_figure_2.png"/>
                    <pic:cNvPicPr/>
                  </pic:nvPicPr>
                  <pic:blipFill>
                    <a:blip r:embed="rId10"/>
                    <a:stretch>
                      <a:fillRect/>
                    </a:stretch>
                  </pic:blipFill>
                  <pic:spPr>
                    <a:xfrm>
                      <a:off x="0" y="0"/>
                      <a:ext cx="5400000" cy="4050000"/>
                    </a:xfrm>
                    <a:prstGeom prst="rect"/>
                  </pic:spPr>
                </pic:pic>
              </a:graphicData>
            </a:graphic>
          </wp:inline>
        </w:drawing>
      </w:r>
      <w:r>
        <w:t xml:space="preserve"/>
      </w:r>
    </w:p>
    <w:p>
      <w:r>
        <w:rPr>
          <w:b w:val="0"/>
          <w:i/>
          <w:color w:val="475569"/>
          <w:sz w:val="18"/>
        </w:rPr>
        <w:t xml:space="preserve">Figure 2: test_figure_2.png  (Dissolve, uploaded 2026-04-01 10:46)</w:t>
      </w:r>
    </w:p>
    <w:p>
      <w:r>
        <w:rPr>
          <w:sz w:val="20"/>
        </w:rPr>
        <w:t xml:space="preserve"/>
      </w:r>
      <w:r>
        <w:drawing>
          <wp:inline xmlns:a="http://schemas.openxmlformats.org/drawingml/2006/main" xmlns:pic="http://schemas.openxmlformats.org/drawingml/2006/picture">
            <wp:extent cx="5400000" cy="4050000"/>
            <wp:docPr id="1003" name="Picture 1"/>
            <wp:cNvGraphicFramePr>
              <a:graphicFrameLocks noChangeAspect="1"/>
            </wp:cNvGraphicFramePr>
            <a:graphic>
              <a:graphicData uri="http://schemas.openxmlformats.org/drawingml/2006/picture">
                <pic:pic>
                  <pic:nvPicPr>
                    <pic:cNvPr id="0" name="test_figure_3.png"/>
                    <pic:cNvPicPr/>
                  </pic:nvPicPr>
                  <pic:blipFill>
                    <a:blip r:embed="rId11"/>
                    <a:stretch>
                      <a:fillRect/>
                    </a:stretch>
                  </pic:blipFill>
                  <pic:spPr>
                    <a:xfrm>
                      <a:off x="0" y="0"/>
                      <a:ext cx="5400000" cy="4050000"/>
                    </a:xfrm>
                    <a:prstGeom prst="rect"/>
                  </pic:spPr>
                </pic:pic>
              </a:graphicData>
            </a:graphic>
          </wp:inline>
        </w:drawing>
      </w:r>
      <w:r>
        <w:t xml:space="preserve"/>
      </w:r>
    </w:p>
    <w:p>
      <w:r>
        <w:rPr>
          <w:b w:val="0"/>
          <w:i/>
          <w:color w:val="475569"/>
          <w:sz w:val="18"/>
        </w:rPr>
        <w:t xml:space="preserve">Figure 3: test_figure_3.png  (Measure pH, uploaded 2026-04-01 11:16)</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