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 xml:space="preserve">Multi-Role Buffer Protocol</w:t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Protocol with Media Prep and QC roles.</w:t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Weigh Reagents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Weigh NaCl and KCl.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NaCl: 8, and KCl: 0.2.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10 minutes for this step.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2. Dissolve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Add to 1000 mL water and stir.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pPr>
        <w:spacing w:before="0" w:after="80"/>
      </w:pPr>
      <w:r>
        <w:t xml:space="preserve"/>
      </w:r>
      <w:r>
        <w:t xml:space="preserve"/>
      </w:r>
    </w:p>
    <w:p>
      <w:r>
        <w:br w:type="page"/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Measure pH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Measure and adjust pH.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Target pH: 7.4.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5 minutes for this step.</w:t>
      </w:r>
      <w:r>
        <w:t xml:space="preserve"/>
      </w:r>
    </w:p>
    <w:p>
      <w:pPr>
        <w:spacing w:after="0"/>
      </w:pPr>
      <w:r>
        <w:rPr>
          <w:b w:val="0"/>
          <w:i w:val="0"/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/>
      </w:pPr>
      <w:r>
        <w:t xml:space="preserve"/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