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48E0A" w14:textId="77777777" w:rsidR="00DD106F" w:rsidRDefault="00000000">
      <w:pPr>
        <w:spacing w:after="40"/>
      </w:pPr>
      <w:r>
        <w:rPr>
          <w:b/>
          <w:color w:val="276B7C"/>
          <w:sz w:val="46"/>
        </w:rPr>
        <w:t>HRSA Single Audit Compliance Methodology</w:t>
      </w:r>
    </w:p>
    <w:p w14:paraId="23E9EFA0" w14:textId="77777777" w:rsidR="00DD106F" w:rsidRDefault="00000000">
      <w:r>
        <w:rPr>
          <w:color w:val="4B5866"/>
          <w:sz w:val="26"/>
        </w:rPr>
        <w:t>How HRSA identifies grantees with a delinquent Single Audit</w:t>
      </w:r>
    </w:p>
    <w:tbl>
      <w:tblPr>
        <w:tblW w:w="0" w:type="auto"/>
        <w:tblLook w:val="04A0" w:firstRow="1" w:lastRow="0" w:firstColumn="1" w:lastColumn="0" w:noHBand="0" w:noVBand="1"/>
      </w:tblPr>
      <w:tblGrid>
        <w:gridCol w:w="4182"/>
        <w:gridCol w:w="6114"/>
      </w:tblGrid>
      <w:tr w:rsidR="00DD106F" w14:paraId="6029115E" w14:textId="77777777" w:rsidTr="00E74325">
        <w:tc>
          <w:tcPr>
            <w:tcW w:w="4182" w:type="dxa"/>
            <w:shd w:val="clear" w:color="auto" w:fill="E1EEF1"/>
          </w:tcPr>
          <w:p w14:paraId="609A865E" w14:textId="77777777" w:rsidR="00DD106F" w:rsidRDefault="00000000">
            <w:r>
              <w:rPr>
                <w:b/>
                <w:color w:val="1C5361"/>
                <w:sz w:val="19"/>
              </w:rPr>
              <w:t>Methodology owner</w:t>
            </w:r>
          </w:p>
        </w:tc>
        <w:tc>
          <w:tcPr>
            <w:tcW w:w="6114" w:type="dxa"/>
          </w:tcPr>
          <w:p w14:paraId="2321BBA9" w14:textId="77777777" w:rsidR="00DD106F" w:rsidRDefault="00000000">
            <w:r>
              <w:rPr>
                <w:sz w:val="20"/>
              </w:rPr>
              <w:t>HRSA (Health Resources &amp; Services Administration)</w:t>
            </w:r>
          </w:p>
        </w:tc>
      </w:tr>
      <w:tr w:rsidR="00DD106F" w14:paraId="0C443B60" w14:textId="77777777" w:rsidTr="00E74325">
        <w:tc>
          <w:tcPr>
            <w:tcW w:w="4182" w:type="dxa"/>
            <w:shd w:val="clear" w:color="auto" w:fill="E1EEF1"/>
          </w:tcPr>
          <w:p w14:paraId="228C2E39" w14:textId="77777777" w:rsidR="00DD106F" w:rsidRDefault="00000000">
            <w:r>
              <w:rPr>
                <w:b/>
                <w:color w:val="1C5361"/>
                <w:sz w:val="19"/>
              </w:rPr>
              <w:t>Governing rule</w:t>
            </w:r>
          </w:p>
        </w:tc>
        <w:tc>
          <w:tcPr>
            <w:tcW w:w="6114" w:type="dxa"/>
          </w:tcPr>
          <w:p w14:paraId="76D609D6" w14:textId="77777777" w:rsidR="00DD106F" w:rsidRDefault="00000000">
            <w:r>
              <w:rPr>
                <w:sz w:val="20"/>
              </w:rPr>
              <w:t>2 CFR Part 200 — Uniform Guidance, Subpart F</w:t>
            </w:r>
          </w:p>
        </w:tc>
      </w:tr>
      <w:tr w:rsidR="00DD106F" w14:paraId="7F0622FC" w14:textId="77777777" w:rsidTr="00E74325">
        <w:tc>
          <w:tcPr>
            <w:tcW w:w="10296" w:type="dxa"/>
            <w:gridSpan w:val="2"/>
            <w:shd w:val="clear" w:color="auto" w:fill="EDF1F5"/>
          </w:tcPr>
          <w:p w14:paraId="30A68341" w14:textId="77777777" w:rsidR="00DD106F" w:rsidRDefault="00000000">
            <w:r>
              <w:rPr>
                <w:i/>
                <w:color w:val="4B5866"/>
                <w:sz w:val="19"/>
              </w:rPr>
              <w:t>This summarizes an automated screening HRSA uses to prioritize follow-up — it is not a final compliance determination. Individual results, especially near the funding threshold, should be confirmed before any action.</w:t>
            </w:r>
          </w:p>
        </w:tc>
      </w:tr>
    </w:tbl>
    <w:p w14:paraId="267160C2" w14:textId="77777777" w:rsidR="00DD106F" w:rsidRDefault="00000000" w:rsidP="00E74325">
      <w:pPr>
        <w:pStyle w:val="Heading1"/>
        <w:spacing w:before="240"/>
      </w:pPr>
      <w:r>
        <w:rPr>
          <w:rFonts w:ascii="Calibri" w:hAnsi="Calibri"/>
          <w:color w:val="276B7C"/>
          <w:sz w:val="30"/>
        </w:rPr>
        <w:t>Assessment: strengths, limitations &amp; assumptions</w:t>
      </w:r>
    </w:p>
    <w:p w14:paraId="6699B4B6" w14:textId="77777777" w:rsidR="00DD106F" w:rsidRDefault="00000000">
      <w:r>
        <w:t>An independent read of HRSA’s methodology, prepared for this review. The aim is to be clear about what the screening does well and where its results should be confirmed before action is taken. The methodology itself is detailed below.</w:t>
      </w:r>
    </w:p>
    <w:tbl>
      <w:tblPr>
        <w:tblW w:w="0" w:type="auto"/>
        <w:tblLook w:val="04A0" w:firstRow="1" w:lastRow="0" w:firstColumn="1" w:lastColumn="0" w:noHBand="0" w:noVBand="1"/>
      </w:tblPr>
      <w:tblGrid>
        <w:gridCol w:w="10080"/>
      </w:tblGrid>
      <w:tr w:rsidR="00DD106F" w14:paraId="453879EA" w14:textId="77777777">
        <w:tc>
          <w:tcPr>
            <w:tcW w:w="10080" w:type="dxa"/>
            <w:shd w:val="clear" w:color="auto" w:fill="E1EEF1"/>
          </w:tcPr>
          <w:p w14:paraId="31B699D6" w14:textId="77777777" w:rsidR="00DD106F" w:rsidRDefault="00000000">
            <w:r>
              <w:rPr>
                <w:b/>
                <w:color w:val="1C5361"/>
                <w:sz w:val="18"/>
              </w:rPr>
              <w:t xml:space="preserve">BOTTOM LINE   </w:t>
            </w:r>
            <w:r>
              <w:rPr>
                <w:b/>
              </w:rPr>
              <w:t>A sound screening and triage tool</w:t>
            </w:r>
            <w:r>
              <w:t xml:space="preserve"> — reliable for narrowing a large grantee population down to a prioritized follow-up list. It is </w:t>
            </w:r>
            <w:r>
              <w:rPr>
                <w:b/>
              </w:rPr>
              <w:t>not a final compliance determination</w:t>
            </w:r>
            <w:r>
              <w:t>: results near the dollar threshold, and cases sent to manual review, should be confirmed individually.</w:t>
            </w:r>
          </w:p>
        </w:tc>
      </w:tr>
    </w:tbl>
    <w:p w14:paraId="22A9D150" w14:textId="77777777" w:rsidR="00DD106F" w:rsidRDefault="00DD106F">
      <w:pPr>
        <w:spacing w:after="40"/>
      </w:pPr>
    </w:p>
    <w:p w14:paraId="67CFB297" w14:textId="77777777" w:rsidR="00DD106F" w:rsidRDefault="00000000">
      <w:pPr>
        <w:pStyle w:val="Heading2"/>
      </w:pPr>
      <w:r>
        <w:rPr>
          <w:rFonts w:ascii="Calibri" w:hAnsi="Calibri"/>
          <w:color w:val="1C5361"/>
          <w:sz w:val="25"/>
        </w:rPr>
        <w:t>Strengths</w:t>
      </w:r>
    </w:p>
    <w:p w14:paraId="26034477" w14:textId="77777777" w:rsidR="00DD106F" w:rsidRDefault="00000000">
      <w:pPr>
        <w:pStyle w:val="ListBullet"/>
      </w:pPr>
      <w:r>
        <w:rPr>
          <w:b/>
          <w:sz w:val="20"/>
        </w:rPr>
        <w:t xml:space="preserve">Checks for a filed audit first. </w:t>
      </w:r>
      <w:r>
        <w:rPr>
          <w:color w:val="4B5866"/>
          <w:sz w:val="20"/>
        </w:rPr>
        <w:t>A grantee with an audit on file is treated as compliant regardless of funding — matching how the rule actually works.</w:t>
      </w:r>
    </w:p>
    <w:p w14:paraId="66665B80" w14:textId="77777777" w:rsidR="00DD106F" w:rsidRDefault="00000000">
      <w:pPr>
        <w:pStyle w:val="ListBullet"/>
      </w:pPr>
      <w:r>
        <w:rPr>
          <w:b/>
          <w:sz w:val="20"/>
        </w:rPr>
        <w:t xml:space="preserve">Recognizes parent-organization coverage. </w:t>
      </w:r>
      <w:r>
        <w:rPr>
          <w:color w:val="4B5866"/>
          <w:sz w:val="20"/>
        </w:rPr>
        <w:t>Grantees audited under a parent entity are correctly credited, which avoids false delinquents.</w:t>
      </w:r>
    </w:p>
    <w:p w14:paraId="7FD12845" w14:textId="77777777" w:rsidR="00DD106F" w:rsidRDefault="00000000">
      <w:pPr>
        <w:pStyle w:val="ListBullet"/>
      </w:pPr>
      <w:r>
        <w:rPr>
          <w:b/>
          <w:sz w:val="20"/>
        </w:rPr>
        <w:t xml:space="preserve">Applies the current thresholds. </w:t>
      </w:r>
      <w:r>
        <w:rPr>
          <w:color w:val="4B5866"/>
          <w:sz w:val="20"/>
        </w:rPr>
        <w:t>Includes the increase from $750K to $1M for fiscal years beginning on/after Oct 1, 2024, based on each grantee’s own fiscal year.</w:t>
      </w:r>
    </w:p>
    <w:p w14:paraId="1602D90D" w14:textId="77777777" w:rsidR="00DD106F" w:rsidRDefault="00000000">
      <w:pPr>
        <w:pStyle w:val="ListBullet"/>
      </w:pPr>
      <w:r>
        <w:rPr>
          <w:b/>
          <w:sz w:val="20"/>
        </w:rPr>
        <w:t xml:space="preserve">Uses the correct 9-month filing deadline </w:t>
      </w:r>
      <w:r>
        <w:rPr>
          <w:color w:val="4B5866"/>
          <w:sz w:val="20"/>
        </w:rPr>
        <w:t>from the Uniform Guidance.</w:t>
      </w:r>
    </w:p>
    <w:p w14:paraId="064D967A" w14:textId="77777777" w:rsidR="00DD106F" w:rsidRDefault="00000000">
      <w:pPr>
        <w:pStyle w:val="ListBullet"/>
      </w:pPr>
      <w:r>
        <w:rPr>
          <w:b/>
          <w:sz w:val="20"/>
        </w:rPr>
        <w:t xml:space="preserve">Fails safe. </w:t>
      </w:r>
      <w:r>
        <w:rPr>
          <w:color w:val="4B5866"/>
          <w:sz w:val="20"/>
        </w:rPr>
        <w:t>When funding data is missing or a fiscal year-end can’t be determined, cases are routed to human review rather than cleared.</w:t>
      </w:r>
    </w:p>
    <w:p w14:paraId="6992761F" w14:textId="77777777" w:rsidR="00DD106F" w:rsidRDefault="00000000">
      <w:pPr>
        <w:pStyle w:val="ListBullet"/>
      </w:pPr>
      <w:r>
        <w:rPr>
          <w:b/>
          <w:sz w:val="20"/>
        </w:rPr>
        <w:t xml:space="preserve">Repeatable and auditable. </w:t>
      </w:r>
      <w:r>
        <w:rPr>
          <w:color w:val="4B5866"/>
          <w:sz w:val="20"/>
        </w:rPr>
        <w:t>Every run is logged and can be re-run; results update in place rather than duplicate.</w:t>
      </w:r>
    </w:p>
    <w:p w14:paraId="32CA7F1F" w14:textId="77777777" w:rsidR="00DD106F" w:rsidRDefault="00000000">
      <w:pPr>
        <w:pStyle w:val="Heading2"/>
      </w:pPr>
      <w:r>
        <w:rPr>
          <w:rFonts w:ascii="Calibri" w:hAnsi="Calibri"/>
          <w:color w:val="1C5361"/>
          <w:sz w:val="25"/>
        </w:rPr>
        <w:t>Limitations</w:t>
      </w:r>
    </w:p>
    <w:p w14:paraId="1D7B8568" w14:textId="77777777" w:rsidR="00DD106F" w:rsidRDefault="00000000">
      <w:pPr>
        <w:pStyle w:val="ListBullet"/>
      </w:pPr>
      <w:r>
        <w:rPr>
          <w:b/>
          <w:color w:val="B23A2C"/>
          <w:sz w:val="17"/>
        </w:rPr>
        <w:t xml:space="preserve">HIGH  </w:t>
      </w:r>
      <w:r>
        <w:rPr>
          <w:b/>
          <w:sz w:val="20"/>
        </w:rPr>
        <w:t xml:space="preserve">HHS funding only. </w:t>
      </w:r>
      <w:r>
        <w:rPr>
          <w:color w:val="4B5866"/>
          <w:sz w:val="20"/>
        </w:rPr>
        <w:t>The threshold is based on total federal funding across all agencies, but this screening sees only HHS funding. “No audit required” therefore means “based on HHS funding.”</w:t>
      </w:r>
    </w:p>
    <w:p w14:paraId="26B9A2A7" w14:textId="77777777" w:rsidR="00DD106F" w:rsidRDefault="00000000">
      <w:pPr>
        <w:pStyle w:val="ListBullet"/>
      </w:pPr>
      <w:r>
        <w:rPr>
          <w:b/>
          <w:color w:val="B23A2C"/>
          <w:sz w:val="17"/>
        </w:rPr>
        <w:t xml:space="preserve">HIGH  </w:t>
      </w:r>
      <w:r>
        <w:rPr>
          <w:b/>
          <w:sz w:val="20"/>
        </w:rPr>
        <w:t xml:space="preserve">Awarded vs. spent. </w:t>
      </w:r>
      <w:r>
        <w:rPr>
          <w:color w:val="4B5866"/>
          <w:sz w:val="20"/>
        </w:rPr>
        <w:t>The rule is based on funds spent; this screening uses funds awarded (see methodology note). Borderline cases may differ.</w:t>
      </w:r>
    </w:p>
    <w:p w14:paraId="3AA1992A" w14:textId="77777777" w:rsidR="00DD106F" w:rsidRDefault="00000000">
      <w:pPr>
        <w:pStyle w:val="ListBullet"/>
      </w:pPr>
      <w:r>
        <w:rPr>
          <w:b/>
          <w:color w:val="8A5A10"/>
          <w:sz w:val="17"/>
        </w:rPr>
        <w:t xml:space="preserve">MED  </w:t>
      </w:r>
      <w:r>
        <w:rPr>
          <w:b/>
          <w:sz w:val="20"/>
        </w:rPr>
        <w:t xml:space="preserve">Fiscal-year alignment. </w:t>
      </w:r>
      <w:r>
        <w:rPr>
          <w:color w:val="4B5866"/>
          <w:sz w:val="20"/>
        </w:rPr>
        <w:t>Funding is totaled by the federal fiscal year (Oct–Sep). For grantees whose year ends in another month, the funding window is shifted, which can affect borderline cases.</w:t>
      </w:r>
    </w:p>
    <w:p w14:paraId="647DB872" w14:textId="77777777" w:rsidR="00DD106F" w:rsidRDefault="00000000">
      <w:pPr>
        <w:pStyle w:val="ListBullet"/>
      </w:pPr>
      <w:r>
        <w:rPr>
          <w:b/>
          <w:color w:val="8A5A10"/>
          <w:sz w:val="17"/>
        </w:rPr>
        <w:t xml:space="preserve">MED  </w:t>
      </w:r>
      <w:r>
        <w:rPr>
          <w:b/>
          <w:sz w:val="20"/>
        </w:rPr>
        <w:t xml:space="preserve">Finds missing audits, not late ones. </w:t>
      </w:r>
      <w:r>
        <w:rPr>
          <w:color w:val="4B5866"/>
          <w:sz w:val="20"/>
        </w:rPr>
        <w:t>A grantee that eventually filed — even well past the deadline — is counted as compliant.</w:t>
      </w:r>
    </w:p>
    <w:p w14:paraId="4619E599" w14:textId="77777777" w:rsidR="00DD106F" w:rsidRDefault="00000000">
      <w:pPr>
        <w:pStyle w:val="ListBullet"/>
      </w:pPr>
      <w:r>
        <w:rPr>
          <w:b/>
          <w:color w:val="8A5A10"/>
          <w:sz w:val="17"/>
        </w:rPr>
        <w:t xml:space="preserve">MED  </w:t>
      </w:r>
      <w:r>
        <w:rPr>
          <w:b/>
          <w:sz w:val="20"/>
        </w:rPr>
        <w:t xml:space="preserve">First-time non-filers. </w:t>
      </w:r>
      <w:r>
        <w:rPr>
          <w:color w:val="4B5866"/>
          <w:sz w:val="20"/>
        </w:rPr>
        <w:t>A grantee’s year-end is inferred from its past audits, so one that crossed the threshold but has never filed goes to manual review rather than “delinquent.”</w:t>
      </w:r>
    </w:p>
    <w:p w14:paraId="6A8A05E8" w14:textId="77777777" w:rsidR="00DD106F" w:rsidRDefault="00000000">
      <w:pPr>
        <w:pStyle w:val="ListBullet"/>
      </w:pPr>
      <w:r>
        <w:rPr>
          <w:b/>
          <w:color w:val="5A6A7C"/>
          <w:sz w:val="17"/>
        </w:rPr>
        <w:t xml:space="preserve">LOW  </w:t>
      </w:r>
      <w:r>
        <w:rPr>
          <w:b/>
          <w:sz w:val="20"/>
        </w:rPr>
        <w:t xml:space="preserve">Standard annual audits assumed. </w:t>
      </w:r>
      <w:r>
        <w:rPr>
          <w:color w:val="4B5866"/>
          <w:sz w:val="20"/>
        </w:rPr>
        <w:t>Special cases such as biennial or program-specific audits are not separately handled.</w:t>
      </w:r>
    </w:p>
    <w:p w14:paraId="4C1181A1" w14:textId="77777777" w:rsidR="00DD106F" w:rsidRDefault="00000000">
      <w:pPr>
        <w:pStyle w:val="Heading2"/>
      </w:pPr>
      <w:r>
        <w:rPr>
          <w:rFonts w:ascii="Calibri" w:hAnsi="Calibri"/>
          <w:color w:val="1C5361"/>
          <w:sz w:val="25"/>
        </w:rPr>
        <w:lastRenderedPageBreak/>
        <w:t>Assumptions to confirm before relying on results</w:t>
      </w:r>
    </w:p>
    <w:p w14:paraId="56A6C9FD" w14:textId="77777777" w:rsidR="00DD106F" w:rsidRDefault="00000000">
      <w:pPr>
        <w:pStyle w:val="ListBullet"/>
      </w:pPr>
      <w:r>
        <w:rPr>
          <w:color w:val="4B5866"/>
          <w:sz w:val="20"/>
        </w:rPr>
        <w:t>HHS funding is a sufficient stand-in for total federal funding.</w:t>
      </w:r>
    </w:p>
    <w:p w14:paraId="579FDA35" w14:textId="77777777" w:rsidR="00DD106F" w:rsidRDefault="00000000">
      <w:pPr>
        <w:pStyle w:val="ListBullet"/>
      </w:pPr>
      <w:r>
        <w:rPr>
          <w:color w:val="4B5866"/>
          <w:sz w:val="20"/>
        </w:rPr>
        <w:t>Funds awarded approximate funds spent.</w:t>
      </w:r>
    </w:p>
    <w:p w14:paraId="2A83014A" w14:textId="77777777" w:rsidR="00DD106F" w:rsidRDefault="00000000">
      <w:pPr>
        <w:pStyle w:val="ListBullet"/>
      </w:pPr>
      <w:r>
        <w:rPr>
          <w:color w:val="4B5866"/>
          <w:sz w:val="20"/>
        </w:rPr>
        <w:t>Each grantee’s fiscal year aligns closely enough with the federal fiscal year.</w:t>
      </w:r>
    </w:p>
    <w:p w14:paraId="7ED54C25" w14:textId="77777777" w:rsidR="00DD106F" w:rsidRDefault="00000000">
      <w:pPr>
        <w:pStyle w:val="ListBullet"/>
      </w:pPr>
      <w:r>
        <w:rPr>
          <w:color w:val="4B5866"/>
          <w:sz w:val="20"/>
        </w:rPr>
        <w:t>The excluded-program list (93.255 and 93.530) is correct and complete.</w:t>
      </w:r>
    </w:p>
    <w:p w14:paraId="57D72698" w14:textId="77777777" w:rsidR="00DD106F" w:rsidRDefault="00000000">
      <w:pPr>
        <w:pStyle w:val="ListBullet"/>
      </w:pPr>
      <w:r>
        <w:rPr>
          <w:color w:val="4B5866"/>
          <w:sz w:val="20"/>
        </w:rPr>
        <w:t>A filed audit means compliant (timing of filed audits is not evaluated).</w:t>
      </w:r>
    </w:p>
    <w:p w14:paraId="73F0787F" w14:textId="77777777" w:rsidR="00DD106F" w:rsidRDefault="00000000">
      <w:pPr>
        <w:pStyle w:val="ListBullet"/>
      </w:pPr>
      <w:r>
        <w:rPr>
          <w:color w:val="4B5866"/>
          <w:sz w:val="20"/>
        </w:rPr>
        <w:t>Grantees follow a standard annual Single Audit schedule.</w:t>
      </w:r>
    </w:p>
    <w:p w14:paraId="6B4B93D3" w14:textId="77777777" w:rsidR="00DD106F" w:rsidRDefault="00000000" w:rsidP="00E74325">
      <w:pPr>
        <w:pStyle w:val="Heading1"/>
        <w:spacing w:before="240"/>
      </w:pPr>
      <w:r>
        <w:rPr>
          <w:rFonts w:ascii="Calibri" w:hAnsi="Calibri"/>
          <w:color w:val="276B7C"/>
          <w:sz w:val="30"/>
        </w:rPr>
        <w:t>Methodology note: how “funding” is measured</w:t>
      </w:r>
    </w:p>
    <w:p w14:paraId="4D72F0E0" w14:textId="77777777" w:rsidR="00DD106F" w:rsidRDefault="00000000">
      <w:r>
        <w:t>The audit requirement depends on a dollar threshold. There are two ways to measure a grantee’s federal funding, and they are not always the same number:</w:t>
      </w:r>
    </w:p>
    <w:tbl>
      <w:tblPr>
        <w:tblStyle w:val="TableGrid"/>
        <w:tblW w:w="0" w:type="auto"/>
        <w:tblLook w:val="04A0" w:firstRow="1" w:lastRow="0" w:firstColumn="1" w:lastColumn="0" w:noHBand="0" w:noVBand="1"/>
      </w:tblPr>
      <w:tblGrid>
        <w:gridCol w:w="5040"/>
        <w:gridCol w:w="5040"/>
      </w:tblGrid>
      <w:tr w:rsidR="00DD106F" w14:paraId="204F21FF" w14:textId="77777777">
        <w:tc>
          <w:tcPr>
            <w:tcW w:w="5040" w:type="dxa"/>
            <w:shd w:val="clear" w:color="auto" w:fill="FAF0DC"/>
          </w:tcPr>
          <w:p w14:paraId="4D8F9884" w14:textId="77777777" w:rsidR="00DD106F" w:rsidRDefault="00000000">
            <w:r>
              <w:rPr>
                <w:b/>
                <w:color w:val="8A5A10"/>
                <w:sz w:val="20"/>
              </w:rPr>
              <w:t>What the rule cites:  Money spent</w:t>
            </w:r>
          </w:p>
        </w:tc>
        <w:tc>
          <w:tcPr>
            <w:tcW w:w="5040" w:type="dxa"/>
            <w:shd w:val="clear" w:color="auto" w:fill="FAF0DC"/>
          </w:tcPr>
          <w:p w14:paraId="18DAE350" w14:textId="77777777" w:rsidR="00DD106F" w:rsidRDefault="00000000">
            <w:r>
              <w:rPr>
                <w:b/>
                <w:color w:val="1C5361"/>
                <w:sz w:val="20"/>
              </w:rPr>
              <w:t>What this screening uses:  Money awarded</w:t>
            </w:r>
          </w:p>
        </w:tc>
      </w:tr>
      <w:tr w:rsidR="00DD106F" w14:paraId="694BA24A" w14:textId="77777777">
        <w:tc>
          <w:tcPr>
            <w:tcW w:w="5040" w:type="dxa"/>
          </w:tcPr>
          <w:p w14:paraId="16D7F461" w14:textId="77777777" w:rsidR="00DD106F" w:rsidRDefault="00000000">
            <w:r>
              <w:rPr>
                <w:sz w:val="19"/>
              </w:rPr>
              <w:t>The regulation bases the audit requirement on what a grantee actually spends during its fiscal year (its “expenditures”). This amount is self-reported by the recipient and is not independently available as federal data.</w:t>
            </w:r>
          </w:p>
        </w:tc>
        <w:tc>
          <w:tcPr>
            <w:tcW w:w="5040" w:type="dxa"/>
          </w:tcPr>
          <w:p w14:paraId="75C6DE50" w14:textId="77777777" w:rsidR="00DD106F" w:rsidRDefault="00000000">
            <w:r>
              <w:rPr>
                <w:sz w:val="19"/>
              </w:rPr>
              <w:t>The screening measures what was awarded to each grantee (its “obligations”), because award amounts are reliably reported per organization while spending amounts often are not.</w:t>
            </w:r>
          </w:p>
        </w:tc>
      </w:tr>
    </w:tbl>
    <w:p w14:paraId="678CAF79" w14:textId="77777777" w:rsidR="00E74325" w:rsidRDefault="00E74325">
      <w:pPr>
        <w:rPr>
          <w:color w:val="4B5866"/>
        </w:rPr>
      </w:pPr>
    </w:p>
    <w:p w14:paraId="159DDB35" w14:textId="00025212" w:rsidR="00DD106F" w:rsidRDefault="00000000" w:rsidP="00E74325">
      <w:pPr>
        <w:spacing w:after="0"/>
      </w:pPr>
      <w:r>
        <w:rPr>
          <w:color w:val="4B5866"/>
        </w:rPr>
        <w:t>The two figures can be close, but they can also be very different</w:t>
      </w:r>
      <w:r w:rsidR="00E74325">
        <w:rPr>
          <w:color w:val="4B5866"/>
        </w:rPr>
        <w:t>. M</w:t>
      </w:r>
      <w:r>
        <w:rPr>
          <w:color w:val="4B5866"/>
        </w:rPr>
        <w:t xml:space="preserve">oney awarded in one year may be spent across several. </w:t>
      </w:r>
      <w:r>
        <w:rPr>
          <w:b/>
        </w:rPr>
        <w:t xml:space="preserve">For grantees near the dollar threshold, measuring awarded funding instead of money spent can place some on the wrong side of the </w:t>
      </w:r>
      <w:r w:rsidR="00E74325">
        <w:rPr>
          <w:b/>
        </w:rPr>
        <w:t xml:space="preserve">equation, </w:t>
      </w:r>
      <w:r>
        <w:rPr>
          <w:b/>
        </w:rPr>
        <w:t xml:space="preserve">flagging a grantee that was not actually required to audit, or clearing one that was. </w:t>
      </w:r>
      <w:r>
        <w:rPr>
          <w:color w:val="4B5866"/>
        </w:rPr>
        <w:t>Results close to the threshold should be treated as a prompt to verify, not a final answer.</w:t>
      </w:r>
    </w:p>
    <w:p w14:paraId="20B2A5D3" w14:textId="35E97F47" w:rsidR="00DD106F" w:rsidRDefault="00E74325">
      <w:r>
        <w:rPr>
          <w:b/>
        </w:rPr>
        <w:br/>
      </w:r>
      <w:r w:rsidR="00000000">
        <w:rPr>
          <w:b/>
        </w:rPr>
        <w:t xml:space="preserve">The process, end to end:  </w:t>
      </w:r>
      <w:r>
        <w:rPr>
          <w:b/>
        </w:rPr>
        <w:br/>
      </w:r>
      <w:r w:rsidR="00000000">
        <w:rPr>
          <w:color w:val="4B5866"/>
        </w:rPr>
        <w:t>1. Gather grantee list  →  2. Look up audit &amp; funding records  →  3. Classify each grantee  →  4. Report</w:t>
      </w:r>
    </w:p>
    <w:p w14:paraId="009053EB" w14:textId="77777777" w:rsidR="00DD106F" w:rsidRDefault="00000000">
      <w:r>
        <w:rPr>
          <w:i/>
          <w:color w:val="4B5866"/>
        </w:rPr>
        <w:t>The remainder of this document explains Step 3 — how each grantee gets sorted.</w:t>
      </w:r>
    </w:p>
    <w:p w14:paraId="3BEFFDB1" w14:textId="77777777" w:rsidR="00DD106F" w:rsidRDefault="00000000" w:rsidP="00E74325">
      <w:pPr>
        <w:pStyle w:val="Heading1"/>
        <w:spacing w:before="240"/>
      </w:pPr>
      <w:r>
        <w:rPr>
          <w:rFonts w:ascii="Calibri" w:hAnsi="Calibri"/>
          <w:color w:val="276B7C"/>
          <w:sz w:val="30"/>
        </w:rPr>
        <w:t>The five questions, in order</w:t>
      </w:r>
    </w:p>
    <w:p w14:paraId="00E4464C" w14:textId="77777777" w:rsidR="00DD106F" w:rsidRDefault="00000000">
      <w:r>
        <w:t>Each grantee is evaluated one fiscal year at a time, working down the questions in order. The first question that resolves decides the outcome — the rest are skipped.</w:t>
      </w:r>
    </w:p>
    <w:tbl>
      <w:tblPr>
        <w:tblStyle w:val="TableGrid"/>
        <w:tblW w:w="0" w:type="auto"/>
        <w:tblLook w:val="04A0" w:firstRow="1" w:lastRow="0" w:firstColumn="1" w:lastColumn="0" w:noHBand="0" w:noVBand="1"/>
      </w:tblPr>
      <w:tblGrid>
        <w:gridCol w:w="3360"/>
        <w:gridCol w:w="3360"/>
        <w:gridCol w:w="3360"/>
      </w:tblGrid>
      <w:tr w:rsidR="00DD106F" w14:paraId="4915444E" w14:textId="77777777">
        <w:tc>
          <w:tcPr>
            <w:tcW w:w="3360" w:type="dxa"/>
            <w:shd w:val="clear" w:color="auto" w:fill="276B7C"/>
          </w:tcPr>
          <w:p w14:paraId="50698C21" w14:textId="77777777" w:rsidR="00DD106F" w:rsidRDefault="00000000">
            <w:r>
              <w:rPr>
                <w:b/>
                <w:color w:val="FFFFFF"/>
                <w:sz w:val="19"/>
              </w:rPr>
              <w:t>#</w:t>
            </w:r>
          </w:p>
        </w:tc>
        <w:tc>
          <w:tcPr>
            <w:tcW w:w="3360" w:type="dxa"/>
            <w:shd w:val="clear" w:color="auto" w:fill="276B7C"/>
          </w:tcPr>
          <w:p w14:paraId="7C31A281" w14:textId="77777777" w:rsidR="00DD106F" w:rsidRDefault="00000000">
            <w:r>
              <w:rPr>
                <w:b/>
                <w:color w:val="FFFFFF"/>
                <w:sz w:val="19"/>
              </w:rPr>
              <w:t>Question  (data source)</w:t>
            </w:r>
          </w:p>
        </w:tc>
        <w:tc>
          <w:tcPr>
            <w:tcW w:w="3360" w:type="dxa"/>
            <w:shd w:val="clear" w:color="auto" w:fill="276B7C"/>
          </w:tcPr>
          <w:p w14:paraId="17343656" w14:textId="77777777" w:rsidR="00DD106F" w:rsidRDefault="00000000">
            <w:r>
              <w:rPr>
                <w:b/>
                <w:color w:val="FFFFFF"/>
                <w:sz w:val="19"/>
              </w:rPr>
              <w:t>Answer → result</w:t>
            </w:r>
          </w:p>
        </w:tc>
      </w:tr>
      <w:tr w:rsidR="00DD106F" w14:paraId="0E2ECE58" w14:textId="77777777">
        <w:tc>
          <w:tcPr>
            <w:tcW w:w="3360" w:type="dxa"/>
          </w:tcPr>
          <w:p w14:paraId="4FEA2D9D" w14:textId="77777777" w:rsidR="00DD106F" w:rsidRDefault="00000000">
            <w:r>
              <w:rPr>
                <w:b/>
                <w:color w:val="1C5361"/>
              </w:rPr>
              <w:t>1</w:t>
            </w:r>
          </w:p>
        </w:tc>
        <w:tc>
          <w:tcPr>
            <w:tcW w:w="3360" w:type="dxa"/>
          </w:tcPr>
          <w:p w14:paraId="65E4D299" w14:textId="77777777" w:rsidR="00DD106F" w:rsidRDefault="00000000">
            <w:r>
              <w:rPr>
                <w:sz w:val="20"/>
              </w:rPr>
              <w:t>Did the grantee file an audit that covers this year?</w:t>
            </w:r>
          </w:p>
          <w:p w14:paraId="16702D5F" w14:textId="77777777" w:rsidR="00DD106F" w:rsidRDefault="00000000">
            <w:r>
              <w:rPr>
                <w:i/>
                <w:color w:val="707E8C"/>
                <w:sz w:val="17"/>
              </w:rPr>
              <w:t>Federal audit records</w:t>
            </w:r>
          </w:p>
        </w:tc>
        <w:tc>
          <w:tcPr>
            <w:tcW w:w="3360" w:type="dxa"/>
          </w:tcPr>
          <w:p w14:paraId="68895DAA" w14:textId="77777777" w:rsidR="00DD106F" w:rsidRDefault="00000000">
            <w:r>
              <w:rPr>
                <w:color w:val="4B5866"/>
                <w:sz w:val="19"/>
              </w:rPr>
              <w:t xml:space="preserve">Yes, on file → </w:t>
            </w:r>
            <w:r>
              <w:rPr>
                <w:b/>
                <w:color w:val="2C7A50"/>
                <w:sz w:val="19"/>
              </w:rPr>
              <w:t>Compliant</w:t>
            </w:r>
          </w:p>
          <w:p w14:paraId="78DB3FE3" w14:textId="77777777" w:rsidR="00DD106F" w:rsidRDefault="00000000">
            <w:r>
              <w:rPr>
                <w:color w:val="4B5866"/>
                <w:sz w:val="19"/>
              </w:rPr>
              <w:t xml:space="preserve">No audit found → </w:t>
            </w:r>
            <w:r>
              <w:rPr>
                <w:b/>
                <w:color w:val="4B5866"/>
                <w:sz w:val="19"/>
              </w:rPr>
              <w:t>go to Q2</w:t>
            </w:r>
          </w:p>
        </w:tc>
      </w:tr>
      <w:tr w:rsidR="00DD106F" w14:paraId="117A26A6" w14:textId="77777777">
        <w:tc>
          <w:tcPr>
            <w:tcW w:w="3360" w:type="dxa"/>
          </w:tcPr>
          <w:p w14:paraId="34AEC895" w14:textId="77777777" w:rsidR="00DD106F" w:rsidRDefault="00000000">
            <w:r>
              <w:rPr>
                <w:b/>
                <w:color w:val="1C5361"/>
              </w:rPr>
              <w:t>2</w:t>
            </w:r>
          </w:p>
        </w:tc>
        <w:tc>
          <w:tcPr>
            <w:tcW w:w="3360" w:type="dxa"/>
          </w:tcPr>
          <w:p w14:paraId="3051C1F7" w14:textId="77777777" w:rsidR="00DD106F" w:rsidRDefault="00000000">
            <w:r>
              <w:rPr>
                <w:sz w:val="20"/>
              </w:rPr>
              <w:t>Is the grantee covered under a parent organization’s audit?</w:t>
            </w:r>
          </w:p>
          <w:p w14:paraId="4B8ADF4C" w14:textId="77777777" w:rsidR="00DD106F" w:rsidRDefault="00000000">
            <w:r>
              <w:rPr>
                <w:i/>
                <w:color w:val="707E8C"/>
                <w:sz w:val="17"/>
              </w:rPr>
              <w:t>Federal audit records</w:t>
            </w:r>
          </w:p>
        </w:tc>
        <w:tc>
          <w:tcPr>
            <w:tcW w:w="3360" w:type="dxa"/>
          </w:tcPr>
          <w:p w14:paraId="29A533CA" w14:textId="77777777" w:rsidR="00DD106F" w:rsidRDefault="00000000">
            <w:r>
              <w:rPr>
                <w:color w:val="4B5866"/>
                <w:sz w:val="19"/>
              </w:rPr>
              <w:t xml:space="preserve">Yes, covered → </w:t>
            </w:r>
            <w:r>
              <w:rPr>
                <w:b/>
                <w:color w:val="2C7A50"/>
                <w:sz w:val="19"/>
              </w:rPr>
              <w:t>Compliant</w:t>
            </w:r>
          </w:p>
          <w:p w14:paraId="41C0834E" w14:textId="77777777" w:rsidR="00DD106F" w:rsidRDefault="00000000">
            <w:r>
              <w:rPr>
                <w:color w:val="4B5866"/>
                <w:sz w:val="19"/>
              </w:rPr>
              <w:t xml:space="preserve">No → </w:t>
            </w:r>
            <w:r>
              <w:rPr>
                <w:b/>
                <w:color w:val="4B5866"/>
                <w:sz w:val="19"/>
              </w:rPr>
              <w:t>go to Q3</w:t>
            </w:r>
          </w:p>
        </w:tc>
      </w:tr>
      <w:tr w:rsidR="00DD106F" w14:paraId="2C2A187C" w14:textId="77777777">
        <w:tc>
          <w:tcPr>
            <w:tcW w:w="3360" w:type="dxa"/>
          </w:tcPr>
          <w:p w14:paraId="16296395" w14:textId="77777777" w:rsidR="00DD106F" w:rsidRDefault="00000000">
            <w:r>
              <w:rPr>
                <w:b/>
                <w:color w:val="1C5361"/>
              </w:rPr>
              <w:t>3</w:t>
            </w:r>
          </w:p>
        </w:tc>
        <w:tc>
          <w:tcPr>
            <w:tcW w:w="3360" w:type="dxa"/>
          </w:tcPr>
          <w:p w14:paraId="4CDE0439" w14:textId="77777777" w:rsidR="00DD106F" w:rsidRDefault="00000000">
            <w:r>
              <w:rPr>
                <w:sz w:val="20"/>
              </w:rPr>
              <w:t>Did the grantee receive enough federal funding to require an audit?</w:t>
            </w:r>
          </w:p>
          <w:p w14:paraId="7C54E847" w14:textId="77777777" w:rsidR="00DD106F" w:rsidRDefault="00000000">
            <w:r>
              <w:rPr>
                <w:i/>
                <w:color w:val="707E8C"/>
                <w:sz w:val="17"/>
              </w:rPr>
              <w:t>Federal funding records</w:t>
            </w:r>
          </w:p>
        </w:tc>
        <w:tc>
          <w:tcPr>
            <w:tcW w:w="3360" w:type="dxa"/>
          </w:tcPr>
          <w:p w14:paraId="605FE95F" w14:textId="77777777" w:rsidR="00DD106F" w:rsidRDefault="00000000">
            <w:r>
              <w:rPr>
                <w:color w:val="4B5866"/>
                <w:sz w:val="19"/>
              </w:rPr>
              <w:t xml:space="preserve">No funding data → </w:t>
            </w:r>
            <w:r>
              <w:rPr>
                <w:b/>
                <w:color w:val="8A5A10"/>
                <w:sz w:val="19"/>
              </w:rPr>
              <w:t>Needs manual review</w:t>
            </w:r>
          </w:p>
          <w:p w14:paraId="5A88CBD5" w14:textId="77777777" w:rsidR="00DD106F" w:rsidRDefault="00000000">
            <w:r>
              <w:rPr>
                <w:color w:val="4B5866"/>
                <w:sz w:val="19"/>
              </w:rPr>
              <w:t xml:space="preserve">Under the threshold → </w:t>
            </w:r>
            <w:r>
              <w:rPr>
                <w:b/>
                <w:color w:val="5A6A7C"/>
                <w:sz w:val="19"/>
              </w:rPr>
              <w:t>No audit required</w:t>
            </w:r>
          </w:p>
          <w:p w14:paraId="4D00A0EA" w14:textId="77777777" w:rsidR="00DD106F" w:rsidRDefault="00000000">
            <w:r>
              <w:rPr>
                <w:color w:val="4B5866"/>
                <w:sz w:val="19"/>
              </w:rPr>
              <w:t xml:space="preserve">At or over threshold → </w:t>
            </w:r>
            <w:r>
              <w:rPr>
                <w:b/>
                <w:color w:val="4B5866"/>
                <w:sz w:val="19"/>
              </w:rPr>
              <w:t>go to Q4</w:t>
            </w:r>
          </w:p>
        </w:tc>
      </w:tr>
      <w:tr w:rsidR="00DD106F" w14:paraId="343C0F17" w14:textId="77777777">
        <w:tc>
          <w:tcPr>
            <w:tcW w:w="3360" w:type="dxa"/>
          </w:tcPr>
          <w:p w14:paraId="65FA20F7" w14:textId="77777777" w:rsidR="00DD106F" w:rsidRDefault="00000000">
            <w:r>
              <w:rPr>
                <w:b/>
                <w:color w:val="1C5361"/>
              </w:rPr>
              <w:t>4</w:t>
            </w:r>
          </w:p>
        </w:tc>
        <w:tc>
          <w:tcPr>
            <w:tcW w:w="3360" w:type="dxa"/>
          </w:tcPr>
          <w:p w14:paraId="47CF8E5A" w14:textId="77777777" w:rsidR="00DD106F" w:rsidRDefault="00000000">
            <w:r>
              <w:rPr>
                <w:sz w:val="20"/>
              </w:rPr>
              <w:t>Do we know when the grantee’s fiscal year ends?</w:t>
            </w:r>
          </w:p>
          <w:p w14:paraId="0094FEBF" w14:textId="77777777" w:rsidR="00DD106F" w:rsidRDefault="00000000">
            <w:r>
              <w:rPr>
                <w:i/>
                <w:color w:val="707E8C"/>
                <w:sz w:val="17"/>
              </w:rPr>
              <w:t>Calculated</w:t>
            </w:r>
          </w:p>
        </w:tc>
        <w:tc>
          <w:tcPr>
            <w:tcW w:w="3360" w:type="dxa"/>
          </w:tcPr>
          <w:p w14:paraId="6EFD9603" w14:textId="77777777" w:rsidR="00DD106F" w:rsidRDefault="00000000">
            <w:r>
              <w:rPr>
                <w:color w:val="4B5866"/>
                <w:sz w:val="19"/>
              </w:rPr>
              <w:t xml:space="preserve">Unknown → </w:t>
            </w:r>
            <w:r>
              <w:rPr>
                <w:b/>
                <w:color w:val="8A5A10"/>
                <w:sz w:val="19"/>
              </w:rPr>
              <w:t>Needs manual review</w:t>
            </w:r>
          </w:p>
          <w:p w14:paraId="1170ECE0" w14:textId="77777777" w:rsidR="00DD106F" w:rsidRDefault="00000000">
            <w:r>
              <w:rPr>
                <w:color w:val="4B5866"/>
                <w:sz w:val="19"/>
              </w:rPr>
              <w:t xml:space="preserve">Known → </w:t>
            </w:r>
            <w:r>
              <w:rPr>
                <w:b/>
                <w:color w:val="4B5866"/>
                <w:sz w:val="19"/>
              </w:rPr>
              <w:t>deadline = year-end + 9 months, go to Q5</w:t>
            </w:r>
          </w:p>
        </w:tc>
      </w:tr>
      <w:tr w:rsidR="00DD106F" w14:paraId="0C552B16" w14:textId="77777777">
        <w:tc>
          <w:tcPr>
            <w:tcW w:w="3360" w:type="dxa"/>
          </w:tcPr>
          <w:p w14:paraId="7F1BA44B" w14:textId="77777777" w:rsidR="00DD106F" w:rsidRDefault="00000000">
            <w:r>
              <w:rPr>
                <w:b/>
                <w:color w:val="1C5361"/>
              </w:rPr>
              <w:t>5</w:t>
            </w:r>
          </w:p>
        </w:tc>
        <w:tc>
          <w:tcPr>
            <w:tcW w:w="3360" w:type="dxa"/>
          </w:tcPr>
          <w:p w14:paraId="627AC143" w14:textId="77777777" w:rsidR="00DD106F" w:rsidRDefault="00000000">
            <w:r>
              <w:rPr>
                <w:sz w:val="20"/>
              </w:rPr>
              <w:t>Has the audit deadline already passed?</w:t>
            </w:r>
          </w:p>
          <w:p w14:paraId="1A551676" w14:textId="77777777" w:rsidR="00DD106F" w:rsidRDefault="00000000">
            <w:r>
              <w:rPr>
                <w:i/>
                <w:color w:val="707E8C"/>
                <w:sz w:val="17"/>
              </w:rPr>
              <w:t>Calculated</w:t>
            </w:r>
          </w:p>
        </w:tc>
        <w:tc>
          <w:tcPr>
            <w:tcW w:w="3360" w:type="dxa"/>
          </w:tcPr>
          <w:p w14:paraId="4D4B6EA7" w14:textId="77777777" w:rsidR="00DD106F" w:rsidRDefault="00000000">
            <w:r>
              <w:rPr>
                <w:color w:val="4B5866"/>
                <w:sz w:val="19"/>
              </w:rPr>
              <w:t xml:space="preserve">Not yet → </w:t>
            </w:r>
            <w:r>
              <w:rPr>
                <w:b/>
                <w:color w:val="2A62A8"/>
                <w:sz w:val="19"/>
              </w:rPr>
              <w:t>Audit not yet due</w:t>
            </w:r>
          </w:p>
          <w:p w14:paraId="61E0E8F0" w14:textId="77777777" w:rsidR="00DD106F" w:rsidRDefault="00000000">
            <w:r>
              <w:rPr>
                <w:color w:val="4B5866"/>
                <w:sz w:val="19"/>
              </w:rPr>
              <w:t xml:space="preserve">Deadline passed → </w:t>
            </w:r>
            <w:r>
              <w:rPr>
                <w:b/>
                <w:color w:val="B23A2C"/>
                <w:sz w:val="19"/>
              </w:rPr>
              <w:t>Delinquent</w:t>
            </w:r>
          </w:p>
        </w:tc>
      </w:tr>
    </w:tbl>
    <w:p w14:paraId="3A62B40C" w14:textId="77777777" w:rsidR="00DD106F" w:rsidRDefault="00000000">
      <w:pPr>
        <w:pStyle w:val="Heading1"/>
      </w:pPr>
      <w:r>
        <w:rPr>
          <w:rFonts w:ascii="Calibri" w:hAnsi="Calibri"/>
          <w:color w:val="276B7C"/>
          <w:sz w:val="30"/>
        </w:rPr>
        <w:lastRenderedPageBreak/>
        <w:t>What each outcome means</w:t>
      </w:r>
    </w:p>
    <w:tbl>
      <w:tblPr>
        <w:tblStyle w:val="TableGrid"/>
        <w:tblW w:w="0" w:type="auto"/>
        <w:tblLook w:val="04A0" w:firstRow="1" w:lastRow="0" w:firstColumn="1" w:lastColumn="0" w:noHBand="0" w:noVBand="1"/>
      </w:tblPr>
      <w:tblGrid>
        <w:gridCol w:w="3360"/>
        <w:gridCol w:w="3360"/>
        <w:gridCol w:w="3360"/>
      </w:tblGrid>
      <w:tr w:rsidR="00DD106F" w14:paraId="388F20CF" w14:textId="77777777">
        <w:tc>
          <w:tcPr>
            <w:tcW w:w="3360" w:type="dxa"/>
            <w:shd w:val="clear" w:color="auto" w:fill="276B7C"/>
          </w:tcPr>
          <w:p w14:paraId="77A20E04" w14:textId="77777777" w:rsidR="00DD106F" w:rsidRDefault="00000000">
            <w:r>
              <w:rPr>
                <w:b/>
                <w:color w:val="FFFFFF"/>
                <w:sz w:val="19"/>
              </w:rPr>
              <w:t>Outcome</w:t>
            </w:r>
          </w:p>
        </w:tc>
        <w:tc>
          <w:tcPr>
            <w:tcW w:w="3360" w:type="dxa"/>
            <w:shd w:val="clear" w:color="auto" w:fill="276B7C"/>
          </w:tcPr>
          <w:p w14:paraId="1F00B19B" w14:textId="77777777" w:rsidR="00DD106F" w:rsidRDefault="00000000">
            <w:r>
              <w:rPr>
                <w:b/>
                <w:color w:val="FFFFFF"/>
                <w:sz w:val="19"/>
              </w:rPr>
              <w:t>What it means</w:t>
            </w:r>
          </w:p>
        </w:tc>
        <w:tc>
          <w:tcPr>
            <w:tcW w:w="3360" w:type="dxa"/>
            <w:shd w:val="clear" w:color="auto" w:fill="276B7C"/>
          </w:tcPr>
          <w:p w14:paraId="78AA4E6A" w14:textId="77777777" w:rsidR="00DD106F" w:rsidRDefault="00000000">
            <w:r>
              <w:rPr>
                <w:b/>
                <w:color w:val="FFFFFF"/>
                <w:sz w:val="19"/>
              </w:rPr>
              <w:t>Reached at</w:t>
            </w:r>
          </w:p>
        </w:tc>
      </w:tr>
      <w:tr w:rsidR="00DD106F" w14:paraId="2C6676A7" w14:textId="77777777">
        <w:tc>
          <w:tcPr>
            <w:tcW w:w="3360" w:type="dxa"/>
          </w:tcPr>
          <w:p w14:paraId="65EA790B" w14:textId="77777777" w:rsidR="00DD106F" w:rsidRDefault="00000000">
            <w:r>
              <w:rPr>
                <w:b/>
                <w:color w:val="2C7A50"/>
                <w:sz w:val="20"/>
              </w:rPr>
              <w:t>Compliant</w:t>
            </w:r>
          </w:p>
        </w:tc>
        <w:tc>
          <w:tcPr>
            <w:tcW w:w="3360" w:type="dxa"/>
          </w:tcPr>
          <w:p w14:paraId="6F327EA6" w14:textId="77777777" w:rsidR="00DD106F" w:rsidRDefault="00000000">
            <w:r>
              <w:rPr>
                <w:sz w:val="19"/>
              </w:rPr>
              <w:t>The required audit is on file — filed by the grantee, or covered through a parent organization. When an audit exists, funding is not even checked.</w:t>
            </w:r>
          </w:p>
        </w:tc>
        <w:tc>
          <w:tcPr>
            <w:tcW w:w="3360" w:type="dxa"/>
          </w:tcPr>
          <w:p w14:paraId="7F319678" w14:textId="77777777" w:rsidR="00DD106F" w:rsidRDefault="00000000">
            <w:r>
              <w:rPr>
                <w:color w:val="4B5866"/>
                <w:sz w:val="19"/>
              </w:rPr>
              <w:t>Questions 1–2</w:t>
            </w:r>
          </w:p>
        </w:tc>
      </w:tr>
      <w:tr w:rsidR="00DD106F" w14:paraId="4767CCF3" w14:textId="77777777">
        <w:tc>
          <w:tcPr>
            <w:tcW w:w="3360" w:type="dxa"/>
          </w:tcPr>
          <w:p w14:paraId="71E29E49" w14:textId="77777777" w:rsidR="00DD106F" w:rsidRDefault="00000000">
            <w:r>
              <w:rPr>
                <w:b/>
                <w:color w:val="5A6A7C"/>
                <w:sz w:val="20"/>
              </w:rPr>
              <w:t>No audit required</w:t>
            </w:r>
          </w:p>
        </w:tc>
        <w:tc>
          <w:tcPr>
            <w:tcW w:w="3360" w:type="dxa"/>
          </w:tcPr>
          <w:p w14:paraId="1DDF4A83" w14:textId="77777777" w:rsidR="00DD106F" w:rsidRDefault="00000000">
            <w:r>
              <w:rPr>
                <w:sz w:val="19"/>
              </w:rPr>
              <w:t>The grantee received less than the funding threshold (after setting aside certain excluded grants), so no Single Audit was required.</w:t>
            </w:r>
          </w:p>
        </w:tc>
        <w:tc>
          <w:tcPr>
            <w:tcW w:w="3360" w:type="dxa"/>
          </w:tcPr>
          <w:p w14:paraId="1A3A3DF6" w14:textId="77777777" w:rsidR="00DD106F" w:rsidRDefault="00000000">
            <w:r>
              <w:rPr>
                <w:color w:val="4B5866"/>
                <w:sz w:val="19"/>
              </w:rPr>
              <w:t>Question 3</w:t>
            </w:r>
          </w:p>
        </w:tc>
      </w:tr>
      <w:tr w:rsidR="00DD106F" w14:paraId="28FF7723" w14:textId="77777777">
        <w:tc>
          <w:tcPr>
            <w:tcW w:w="3360" w:type="dxa"/>
          </w:tcPr>
          <w:p w14:paraId="742E6429" w14:textId="77777777" w:rsidR="00DD106F" w:rsidRDefault="00000000">
            <w:r>
              <w:rPr>
                <w:b/>
                <w:color w:val="2A62A8"/>
                <w:sz w:val="20"/>
              </w:rPr>
              <w:t>Audit not yet due</w:t>
            </w:r>
          </w:p>
        </w:tc>
        <w:tc>
          <w:tcPr>
            <w:tcW w:w="3360" w:type="dxa"/>
          </w:tcPr>
          <w:p w14:paraId="32C56996" w14:textId="77777777" w:rsidR="00DD106F" w:rsidRDefault="00000000">
            <w:r>
              <w:rPr>
                <w:sz w:val="19"/>
              </w:rPr>
              <w:t>The grantee crossed the threshold and has no audit on file — but the filing deadline has not arrived yet. Not late, just pending.</w:t>
            </w:r>
          </w:p>
        </w:tc>
        <w:tc>
          <w:tcPr>
            <w:tcW w:w="3360" w:type="dxa"/>
          </w:tcPr>
          <w:p w14:paraId="5A708086" w14:textId="77777777" w:rsidR="00DD106F" w:rsidRDefault="00000000">
            <w:r>
              <w:rPr>
                <w:color w:val="4B5866"/>
                <w:sz w:val="19"/>
              </w:rPr>
              <w:t>Question 5</w:t>
            </w:r>
          </w:p>
        </w:tc>
      </w:tr>
      <w:tr w:rsidR="00DD106F" w14:paraId="63B5CBB6" w14:textId="77777777">
        <w:tc>
          <w:tcPr>
            <w:tcW w:w="3360" w:type="dxa"/>
          </w:tcPr>
          <w:p w14:paraId="6B8A471D" w14:textId="77777777" w:rsidR="00DD106F" w:rsidRDefault="00000000">
            <w:r>
              <w:rPr>
                <w:b/>
                <w:color w:val="B23A2C"/>
                <w:sz w:val="20"/>
              </w:rPr>
              <w:t>Delinquent</w:t>
            </w:r>
          </w:p>
        </w:tc>
        <w:tc>
          <w:tcPr>
            <w:tcW w:w="3360" w:type="dxa"/>
          </w:tcPr>
          <w:p w14:paraId="32D715BA" w14:textId="77777777" w:rsidR="00DD106F" w:rsidRDefault="00000000">
            <w:r>
              <w:rPr>
                <w:sz w:val="19"/>
              </w:rPr>
              <w:t>An audit was required, the deadline has passed, and none was found anywhere. These are the cases that need follow-up.</w:t>
            </w:r>
          </w:p>
        </w:tc>
        <w:tc>
          <w:tcPr>
            <w:tcW w:w="3360" w:type="dxa"/>
          </w:tcPr>
          <w:p w14:paraId="00695385" w14:textId="77777777" w:rsidR="00DD106F" w:rsidRDefault="00000000">
            <w:r>
              <w:rPr>
                <w:color w:val="4B5866"/>
                <w:sz w:val="19"/>
              </w:rPr>
              <w:t>Question 5</w:t>
            </w:r>
          </w:p>
        </w:tc>
      </w:tr>
      <w:tr w:rsidR="00DD106F" w14:paraId="69B723D3" w14:textId="77777777">
        <w:tc>
          <w:tcPr>
            <w:tcW w:w="3360" w:type="dxa"/>
          </w:tcPr>
          <w:p w14:paraId="50550060" w14:textId="77777777" w:rsidR="00DD106F" w:rsidRDefault="00000000">
            <w:r>
              <w:rPr>
                <w:b/>
                <w:color w:val="8A5A10"/>
                <w:sz w:val="20"/>
              </w:rPr>
              <w:t>Needs manual review</w:t>
            </w:r>
          </w:p>
        </w:tc>
        <w:tc>
          <w:tcPr>
            <w:tcW w:w="3360" w:type="dxa"/>
          </w:tcPr>
          <w:p w14:paraId="67FC4361" w14:textId="77777777" w:rsidR="00DD106F" w:rsidRDefault="00000000">
            <w:r>
              <w:rPr>
                <w:sz w:val="19"/>
              </w:rPr>
              <w:t>There was not enough information to decide automatically — missing funding data, or an unknown fiscal year-end. A person should review these individually.</w:t>
            </w:r>
          </w:p>
        </w:tc>
        <w:tc>
          <w:tcPr>
            <w:tcW w:w="3360" w:type="dxa"/>
          </w:tcPr>
          <w:p w14:paraId="53B1DEA4" w14:textId="77777777" w:rsidR="00DD106F" w:rsidRDefault="00000000">
            <w:r>
              <w:rPr>
                <w:color w:val="4B5866"/>
                <w:sz w:val="19"/>
              </w:rPr>
              <w:t>Questions 3–4</w:t>
            </w:r>
          </w:p>
        </w:tc>
      </w:tr>
    </w:tbl>
    <w:p w14:paraId="31E64539" w14:textId="77777777" w:rsidR="00DD106F" w:rsidRDefault="00000000">
      <w:pPr>
        <w:pStyle w:val="Heading1"/>
      </w:pPr>
      <w:r>
        <w:rPr>
          <w:rFonts w:ascii="Calibri" w:hAnsi="Calibri"/>
          <w:color w:val="276B7C"/>
          <w:sz w:val="30"/>
        </w:rPr>
        <w:t>The rules applied</w:t>
      </w:r>
    </w:p>
    <w:tbl>
      <w:tblPr>
        <w:tblStyle w:val="TableGrid"/>
        <w:tblW w:w="0" w:type="auto"/>
        <w:tblLook w:val="04A0" w:firstRow="1" w:lastRow="0" w:firstColumn="1" w:lastColumn="0" w:noHBand="0" w:noVBand="1"/>
      </w:tblPr>
      <w:tblGrid>
        <w:gridCol w:w="5040"/>
        <w:gridCol w:w="5040"/>
      </w:tblGrid>
      <w:tr w:rsidR="00DD106F" w14:paraId="6E1373DC" w14:textId="77777777">
        <w:tc>
          <w:tcPr>
            <w:tcW w:w="5040" w:type="dxa"/>
            <w:shd w:val="clear" w:color="auto" w:fill="276B7C"/>
          </w:tcPr>
          <w:p w14:paraId="69FA60F0" w14:textId="77777777" w:rsidR="00DD106F" w:rsidRDefault="00000000">
            <w:r>
              <w:rPr>
                <w:b/>
                <w:color w:val="FFFFFF"/>
                <w:sz w:val="19"/>
              </w:rPr>
              <w:t>Rule</w:t>
            </w:r>
          </w:p>
        </w:tc>
        <w:tc>
          <w:tcPr>
            <w:tcW w:w="5040" w:type="dxa"/>
            <w:shd w:val="clear" w:color="auto" w:fill="276B7C"/>
          </w:tcPr>
          <w:p w14:paraId="4565D119" w14:textId="77777777" w:rsidR="00DD106F" w:rsidRDefault="00000000">
            <w:r>
              <w:rPr>
                <w:b/>
                <w:color w:val="FFFFFF"/>
                <w:sz w:val="19"/>
              </w:rPr>
              <w:t>Detail</w:t>
            </w:r>
          </w:p>
        </w:tc>
      </w:tr>
      <w:tr w:rsidR="00DD106F" w14:paraId="13DE984B" w14:textId="77777777">
        <w:tc>
          <w:tcPr>
            <w:tcW w:w="5040" w:type="dxa"/>
          </w:tcPr>
          <w:p w14:paraId="7B50BF92" w14:textId="77777777" w:rsidR="00DD106F" w:rsidRDefault="00000000">
            <w:r>
              <w:rPr>
                <w:b/>
                <w:sz w:val="19"/>
              </w:rPr>
              <w:t>Funding threshold</w:t>
            </w:r>
          </w:p>
        </w:tc>
        <w:tc>
          <w:tcPr>
            <w:tcW w:w="5040" w:type="dxa"/>
          </w:tcPr>
          <w:p w14:paraId="63D23F98" w14:textId="77777777" w:rsidR="00DD106F" w:rsidRDefault="00000000">
            <w:r>
              <w:rPr>
                <w:sz w:val="19"/>
              </w:rPr>
              <w:t>$750,000 — rises to $1,000,000 for fiscal years starting on/after Oct 1, 2024</w:t>
            </w:r>
          </w:p>
        </w:tc>
      </w:tr>
      <w:tr w:rsidR="00DD106F" w14:paraId="178B1EA5" w14:textId="77777777">
        <w:tc>
          <w:tcPr>
            <w:tcW w:w="5040" w:type="dxa"/>
          </w:tcPr>
          <w:p w14:paraId="5D852234" w14:textId="77777777" w:rsidR="00DD106F" w:rsidRDefault="00000000">
            <w:r>
              <w:rPr>
                <w:b/>
                <w:sz w:val="19"/>
              </w:rPr>
              <w:t>Funding measured</w:t>
            </w:r>
          </w:p>
        </w:tc>
        <w:tc>
          <w:tcPr>
            <w:tcW w:w="5040" w:type="dxa"/>
          </w:tcPr>
          <w:p w14:paraId="577DFE21" w14:textId="77777777" w:rsidR="00DD106F" w:rsidRDefault="00000000">
            <w:r>
              <w:rPr>
                <w:sz w:val="19"/>
              </w:rPr>
              <w:t>Federal funding awarded to the grantee (see methodology note)</w:t>
            </w:r>
          </w:p>
        </w:tc>
      </w:tr>
      <w:tr w:rsidR="00DD106F" w14:paraId="4787C76A" w14:textId="77777777">
        <w:tc>
          <w:tcPr>
            <w:tcW w:w="5040" w:type="dxa"/>
          </w:tcPr>
          <w:p w14:paraId="4F234D92" w14:textId="77777777" w:rsidR="00DD106F" w:rsidRDefault="00000000">
            <w:r>
              <w:rPr>
                <w:b/>
                <w:sz w:val="19"/>
              </w:rPr>
              <w:t>Excluded grants</w:t>
            </w:r>
          </w:p>
        </w:tc>
        <w:tc>
          <w:tcPr>
            <w:tcW w:w="5040" w:type="dxa"/>
          </w:tcPr>
          <w:p w14:paraId="1863CBA2" w14:textId="77777777" w:rsidR="00DD106F" w:rsidRDefault="00000000">
            <w:r>
              <w:rPr>
                <w:sz w:val="19"/>
              </w:rPr>
              <w:t>Programs 93.255 and 93.530, removed before applying the threshold</w:t>
            </w:r>
          </w:p>
        </w:tc>
      </w:tr>
      <w:tr w:rsidR="00DD106F" w14:paraId="60E4605C" w14:textId="77777777">
        <w:tc>
          <w:tcPr>
            <w:tcW w:w="5040" w:type="dxa"/>
          </w:tcPr>
          <w:p w14:paraId="3EFA04E0" w14:textId="77777777" w:rsidR="00DD106F" w:rsidRDefault="00000000">
            <w:r>
              <w:rPr>
                <w:b/>
                <w:sz w:val="19"/>
              </w:rPr>
              <w:t>Audit deadline</w:t>
            </w:r>
          </w:p>
        </w:tc>
        <w:tc>
          <w:tcPr>
            <w:tcW w:w="5040" w:type="dxa"/>
          </w:tcPr>
          <w:p w14:paraId="1899D746" w14:textId="77777777" w:rsidR="00DD106F" w:rsidRDefault="00000000">
            <w:r>
              <w:rPr>
                <w:sz w:val="19"/>
              </w:rPr>
              <w:t>9 months after the grantee’s fiscal year-end (per the Uniform Guidance)</w:t>
            </w:r>
          </w:p>
        </w:tc>
      </w:tr>
      <w:tr w:rsidR="00DD106F" w14:paraId="0A897E7D" w14:textId="77777777">
        <w:tc>
          <w:tcPr>
            <w:tcW w:w="5040" w:type="dxa"/>
          </w:tcPr>
          <w:p w14:paraId="345191A6" w14:textId="77777777" w:rsidR="00DD106F" w:rsidRDefault="00000000">
            <w:r>
              <w:rPr>
                <w:b/>
                <w:sz w:val="19"/>
              </w:rPr>
              <w:t>Years reviewed</w:t>
            </w:r>
          </w:p>
        </w:tc>
        <w:tc>
          <w:tcPr>
            <w:tcW w:w="5040" w:type="dxa"/>
          </w:tcPr>
          <w:p w14:paraId="384D5A2F" w14:textId="77777777" w:rsidR="00DD106F" w:rsidRDefault="00000000">
            <w:r>
              <w:rPr>
                <w:sz w:val="19"/>
              </w:rPr>
              <w:t>The target year plus the two prior years (a rolling three-year window)</w:t>
            </w:r>
          </w:p>
        </w:tc>
      </w:tr>
      <w:tr w:rsidR="00DD106F" w14:paraId="3073DC12" w14:textId="77777777">
        <w:tc>
          <w:tcPr>
            <w:tcW w:w="5040" w:type="dxa"/>
          </w:tcPr>
          <w:p w14:paraId="57C64AD7" w14:textId="77777777" w:rsidR="00DD106F" w:rsidRDefault="00000000">
            <w:r>
              <w:rPr>
                <w:b/>
                <w:sz w:val="19"/>
              </w:rPr>
              <w:t>Data sources</w:t>
            </w:r>
          </w:p>
        </w:tc>
        <w:tc>
          <w:tcPr>
            <w:tcW w:w="5040" w:type="dxa"/>
          </w:tcPr>
          <w:p w14:paraId="6D31F43E" w14:textId="77777777" w:rsidR="00DD106F" w:rsidRDefault="00000000">
            <w:r>
              <w:rPr>
                <w:sz w:val="19"/>
              </w:rPr>
              <w:t>Federal Audit Clearinghouse (FAC) and USAspending.gov</w:t>
            </w:r>
          </w:p>
        </w:tc>
      </w:tr>
    </w:tbl>
    <w:p w14:paraId="67CE6798" w14:textId="77777777" w:rsidR="008A10FE" w:rsidRDefault="008A10FE"/>
    <w:sectPr w:rsidR="008A10FE" w:rsidSect="00034616">
      <w:footerReference w:type="default" r:id="rId8"/>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44868" w14:textId="77777777" w:rsidR="008A10FE" w:rsidRDefault="008A10FE">
      <w:pPr>
        <w:spacing w:after="0" w:line="240" w:lineRule="auto"/>
      </w:pPr>
      <w:r>
        <w:separator/>
      </w:r>
    </w:p>
  </w:endnote>
  <w:endnote w:type="continuationSeparator" w:id="0">
    <w:p w14:paraId="48E133D6" w14:textId="77777777" w:rsidR="008A10FE" w:rsidRDefault="008A10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54954" w14:textId="77777777" w:rsidR="00DD106F" w:rsidRDefault="00000000">
    <w:pPr>
      <w:pStyle w:val="Footer"/>
      <w:jc w:val="center"/>
    </w:pPr>
    <w:r>
      <w:rPr>
        <w:color w:val="707E8C"/>
        <w:sz w:val="17"/>
      </w:rPr>
      <w:t>HRSA Single Audit compliance methodology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F6606" w14:textId="77777777" w:rsidR="008A10FE" w:rsidRDefault="008A10FE">
      <w:pPr>
        <w:spacing w:after="0" w:line="240" w:lineRule="auto"/>
      </w:pPr>
      <w:r>
        <w:separator/>
      </w:r>
    </w:p>
  </w:footnote>
  <w:footnote w:type="continuationSeparator" w:id="0">
    <w:p w14:paraId="04F3D123" w14:textId="77777777" w:rsidR="008A10FE" w:rsidRDefault="008A10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7019788">
    <w:abstractNumId w:val="8"/>
  </w:num>
  <w:num w:numId="2" w16cid:durableId="1048145135">
    <w:abstractNumId w:val="6"/>
  </w:num>
  <w:num w:numId="3" w16cid:durableId="595558308">
    <w:abstractNumId w:val="5"/>
  </w:num>
  <w:num w:numId="4" w16cid:durableId="1952589303">
    <w:abstractNumId w:val="4"/>
  </w:num>
  <w:num w:numId="5" w16cid:durableId="1740521181">
    <w:abstractNumId w:val="7"/>
  </w:num>
  <w:num w:numId="6" w16cid:durableId="817649111">
    <w:abstractNumId w:val="3"/>
  </w:num>
  <w:num w:numId="7" w16cid:durableId="969937384">
    <w:abstractNumId w:val="2"/>
  </w:num>
  <w:num w:numId="8" w16cid:durableId="1974825289">
    <w:abstractNumId w:val="1"/>
  </w:num>
  <w:num w:numId="9" w16cid:durableId="1637449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10FE"/>
    <w:rsid w:val="00AA1D8D"/>
    <w:rsid w:val="00B47730"/>
    <w:rsid w:val="00CA1E21"/>
    <w:rsid w:val="00CB0664"/>
    <w:rsid w:val="00DD106F"/>
    <w:rsid w:val="00E743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AEC1F5"/>
  <w14:defaultImageDpi w14:val="300"/>
  <w15:docId w15:val="{8779D09A-E758-4D2D-918C-AECF4D4F5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82029"/>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1030</Words>
  <Characters>5875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Wesley Yon</cp:lastModifiedBy>
  <cp:revision>2</cp:revision>
  <dcterms:created xsi:type="dcterms:W3CDTF">2013-12-23T23:15:00Z</dcterms:created>
  <dcterms:modified xsi:type="dcterms:W3CDTF">2026-07-13T21:48:00Z</dcterms:modified>
  <cp:category/>
</cp:coreProperties>
</file>