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Comparable Communities – Modest Income Homes Profile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list identifies U.S. cities and neighborhoods that share similar characteristics with the target community (low median income, high renter share, working-class employment, and price-sensitive consumer behavior).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Midwest (Strongest Match)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Gary, Indiana</w:t>
        <w:br w:type="textWrapping"/>
        <w:t xml:space="preserve"> East St. Louis, Illinois</w:t>
        <w:br w:type="textWrapping"/>
        <w:t xml:space="preserve"> Flint, Michigan</w:t>
        <w:br w:type="textWrapping"/>
        <w:t xml:space="preserve"> Youngstown, Ohio</w:t>
        <w:br w:type="textWrapping"/>
        <w:t xml:space="preserve"> Toledo, Ohio (select neighborhoods)</w:t>
        <w:br w:type="textWrapping"/>
        <w:t xml:space="preserve"> Rockford, Illinois</w:t>
        <w:br w:type="textWrapping"/>
        <w:t xml:space="preserve"> South Bend, Indiana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areas are historically industrial regions with lower household incomes, high renter populations, and similar economic conditions.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Large City Low-Income Neighborhoods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South Side, Chicago, Illinois</w:t>
        <w:br w:type="textWrapping"/>
        <w:t xml:space="preserve"> West Side, Detroit, Michigan</w:t>
        <w:br w:type="textWrapping"/>
        <w:t xml:space="preserve"> North Side, Milwaukee, Wisconsin</w:t>
        <w:br w:type="textWrapping"/>
        <w:t xml:space="preserve"> West Side, Cleveland, Ohio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neighborhoods closely match the target profile in terms of income levels, population density, and consumption patterns.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South / Sunbelt Regions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Memphis, Tennessee</w:t>
        <w:br w:type="textWrapping"/>
        <w:t xml:space="preserve"> Birmingham, Alabama</w:t>
        <w:br w:type="textWrapping"/>
        <w:t xml:space="preserve"> Jackson, Mississippi</w:t>
        <w:br w:type="textWrapping"/>
        <w:t xml:space="preserve"> Shreveport, Louisiana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areas have similar income levels, employment structures (service and industrial jobs), and strong price sensitivity among consumers.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Selection Criteria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above communities were selected based on alignment with the following baseline metrics: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Median household income: approximately $25,000–$40,000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renter share (typically above 60%)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Employment concentrated in industrial and service sectors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Moderate population density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preference for discount retailers and essential goods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Insight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communities represent working-class, price-sensitive markets where consumer behavior is driven by affordability, accessibility, and necessity-based spending rather than discretionary or premium consumption.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Comparable communities should share several of the following characteristics with Englewood: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Concentrated economic disinvestment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household income and high poverty rates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renter share and housing instability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Limited access to quality healthcare, food, or other essential services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Lower educational and employment outcomes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Higher exposure to safety, environmental, or chronic health challenges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Urban neighborhood context rather than citywide averages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history of structural inequities that affect long-term community wellbeing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For each intervention area, what does the literature say about measurable effects in communities similar to Englewood on outcomes linked to life expectancy?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288.0000000000000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Standards for Determining Similar Communities to Englewood, Chicago</w:t>
      </w:r>
    </w:p>
    <w:p w:rsidR="00000000" w:rsidDel="00000000" w:rsidP="00000000" w:rsidRDefault="00000000" w:rsidRPr="00000000" w14:paraId="00000021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23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  <w:t xml:space="preserve">This framework defines the key criteria used to evaluate whether a community is comparable to Englewood or a “Modest Income Homes” type area.</w:t>
      </w:r>
    </w:p>
    <w:p w:rsidR="00000000" w:rsidDel="00000000" w:rsidP="00000000" w:rsidRDefault="00000000" w:rsidRPr="00000000" w14:paraId="00000024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  <w:t xml:space="preserve">1. Income Level (Primary Filter)</w:t>
      </w:r>
    </w:p>
    <w:p w:rsidR="00000000" w:rsidDel="00000000" w:rsidP="00000000" w:rsidRDefault="00000000" w:rsidRPr="00000000" w14:paraId="00000026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  <w:t xml:space="preserve">Median household income: $25,000 – $40,000</w:t>
      </w:r>
    </w:p>
    <w:p w:rsidR="00000000" w:rsidDel="00000000" w:rsidP="00000000" w:rsidRDefault="00000000" w:rsidRPr="00000000" w14:paraId="00000027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  <w:t xml:space="preserve">Wealth index (if available): below 50 (U.S. average = 100)</w:t>
      </w:r>
    </w:p>
    <w:p w:rsidR="00000000" w:rsidDel="00000000" w:rsidP="00000000" w:rsidRDefault="00000000" w:rsidRPr="00000000" w14:paraId="00000028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  <w:t xml:space="preserve">Low-income population with high price sensitivity and limited discretionary spending.</w:t>
      </w:r>
    </w:p>
    <w:p w:rsidR="00000000" w:rsidDel="00000000" w:rsidP="00000000" w:rsidRDefault="00000000" w:rsidRPr="00000000" w14:paraId="00000029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  <w:t xml:space="preserve">2. Housing Structure</w:t>
      </w:r>
    </w:p>
    <w:p w:rsidR="00000000" w:rsidDel="00000000" w:rsidP="00000000" w:rsidRDefault="00000000" w:rsidRPr="00000000" w14:paraId="0000002B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  <w:t xml:space="preserve">Renter share: 60% or higher</w:t>
      </w:r>
    </w:p>
    <w:p w:rsidR="00000000" w:rsidDel="00000000" w:rsidP="00000000" w:rsidRDefault="00000000" w:rsidRPr="00000000" w14:paraId="0000002C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  <w:t xml:space="preserve">Homeownership: 40% or lower</w:t>
      </w:r>
    </w:p>
    <w:p w:rsidR="00000000" w:rsidDel="00000000" w:rsidP="00000000" w:rsidRDefault="00000000" w:rsidRPr="00000000" w14:paraId="0000002D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  <w:t xml:space="preserve">Median home value: below $200,000</w:t>
      </w:r>
    </w:p>
    <w:p w:rsidR="00000000" w:rsidDel="00000000" w:rsidP="00000000" w:rsidRDefault="00000000" w:rsidRPr="00000000" w14:paraId="0000002E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  <w:t xml:space="preserve">Higher mobility and lower long-term wealth accumulation.</w:t>
      </w:r>
    </w:p>
    <w:p w:rsidR="00000000" w:rsidDel="00000000" w:rsidP="00000000" w:rsidRDefault="00000000" w:rsidRPr="00000000" w14:paraId="0000002F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  <w:t xml:space="preserve">3. Employment Profile</w:t>
      </w:r>
    </w:p>
    <w:p w:rsidR="00000000" w:rsidDel="00000000" w:rsidP="00000000" w:rsidRDefault="00000000" w:rsidRPr="00000000" w14:paraId="00000031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  <w:t xml:space="preserve">Dominant sectors: industrial, manufacturing, service, retail, logistics</w:t>
      </w:r>
    </w:p>
    <w:p w:rsidR="00000000" w:rsidDel="00000000" w:rsidP="00000000" w:rsidRDefault="00000000" w:rsidRPr="00000000" w14:paraId="00000032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  <w:t xml:space="preserve">Limited presence of professional/white-collar jobs</w:t>
      </w:r>
    </w:p>
    <w:p w:rsidR="00000000" w:rsidDel="00000000" w:rsidP="00000000" w:rsidRDefault="00000000" w:rsidRPr="00000000" w14:paraId="00000033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  <w:t xml:space="preserve">Income is often hourly-based with higher sensitivity to economic fluctuations.</w:t>
      </w:r>
    </w:p>
    <w:p w:rsidR="00000000" w:rsidDel="00000000" w:rsidP="00000000" w:rsidRDefault="00000000" w:rsidRPr="00000000" w14:paraId="00000034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  <w:t xml:space="preserve">4. Consumer Behavior</w:t>
      </w:r>
    </w:p>
    <w:p w:rsidR="00000000" w:rsidDel="00000000" w:rsidP="00000000" w:rsidRDefault="00000000" w:rsidRPr="00000000" w14:paraId="00000036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  <w:t xml:space="preserve">Preference for discount retailers and value-oriented stores</w:t>
      </w:r>
    </w:p>
    <w:p w:rsidR="00000000" w:rsidDel="00000000" w:rsidP="00000000" w:rsidRDefault="00000000" w:rsidRPr="00000000" w14:paraId="00000037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  <w:t xml:space="preserve">High price sensitivity</w:t>
      </w:r>
    </w:p>
    <w:p w:rsidR="00000000" w:rsidDel="00000000" w:rsidP="00000000" w:rsidRDefault="00000000" w:rsidRPr="00000000" w14:paraId="00000038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  <w:t xml:space="preserve">Optional indicators: SNAP/EBT usage, discount retail presence</w:t>
      </w:r>
    </w:p>
    <w:p w:rsidR="00000000" w:rsidDel="00000000" w:rsidP="00000000" w:rsidRDefault="00000000" w:rsidRPr="00000000" w14:paraId="00000039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  <w:t xml:space="preserve">Spending focused on affordability and essential goods.</w:t>
      </w:r>
    </w:p>
    <w:p w:rsidR="00000000" w:rsidDel="00000000" w:rsidP="00000000" w:rsidRDefault="00000000" w:rsidRPr="00000000" w14:paraId="0000003A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  <w:t xml:space="preserve">5. Demographics</w:t>
      </w:r>
    </w:p>
    <w:p w:rsidR="00000000" w:rsidDel="00000000" w:rsidP="00000000" w:rsidRDefault="00000000" w:rsidRPr="00000000" w14:paraId="0000003C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  <w:t xml:space="preserve">Median age: 30–40</w:t>
      </w:r>
    </w:p>
    <w:p w:rsidR="00000000" w:rsidDel="00000000" w:rsidP="00000000" w:rsidRDefault="00000000" w:rsidRPr="00000000" w14:paraId="0000003D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  <w:t xml:space="preserve">College degree attainment: below 30%</w:t>
      </w:r>
    </w:p>
    <w:p w:rsidR="00000000" w:rsidDel="00000000" w:rsidP="00000000" w:rsidRDefault="00000000" w:rsidRPr="00000000" w14:paraId="0000003E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  <w:t xml:space="preserve">Average household size: 2–3</w:t>
      </w:r>
    </w:p>
    <w:p w:rsidR="00000000" w:rsidDel="00000000" w:rsidP="00000000" w:rsidRDefault="00000000" w:rsidRPr="00000000" w14:paraId="0000003F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  <w:t xml:space="preserve">Working-age, budget-focused population.</w:t>
      </w:r>
    </w:p>
    <w:p w:rsidR="00000000" w:rsidDel="00000000" w:rsidP="00000000" w:rsidRDefault="00000000" w:rsidRPr="00000000" w14:paraId="00000040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  <w:t xml:space="preserve">6. Population Density and Urban Form</w:t>
      </w:r>
    </w:p>
    <w:p w:rsidR="00000000" w:rsidDel="00000000" w:rsidP="00000000" w:rsidRDefault="00000000" w:rsidRPr="00000000" w14:paraId="00000042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  <w:t xml:space="preserve">Moderate density</w:t>
      </w:r>
    </w:p>
    <w:p w:rsidR="00000000" w:rsidDel="00000000" w:rsidP="00000000" w:rsidRDefault="00000000" w:rsidRPr="00000000" w14:paraId="00000043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  <w:t xml:space="preserve">Mix of residential and small retail corridors</w:t>
      </w:r>
    </w:p>
    <w:p w:rsidR="00000000" w:rsidDel="00000000" w:rsidP="00000000" w:rsidRDefault="00000000" w:rsidRPr="00000000" w14:paraId="00000044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  <w:t xml:space="preserve">Walkability and proximity are important.</w:t>
      </w:r>
    </w:p>
    <w:p w:rsidR="00000000" w:rsidDel="00000000" w:rsidP="00000000" w:rsidRDefault="00000000" w:rsidRPr="00000000" w14:paraId="00000045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  <w:t xml:space="preserve">7. Economic Growth and Stability</w:t>
      </w:r>
    </w:p>
    <w:p w:rsidR="00000000" w:rsidDel="00000000" w:rsidP="00000000" w:rsidRDefault="00000000" w:rsidRPr="00000000" w14:paraId="00000047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  <w:t xml:space="preserve">Population growth: -1% to +1%</w:t>
      </w:r>
    </w:p>
    <w:p w:rsidR="00000000" w:rsidDel="00000000" w:rsidP="00000000" w:rsidRDefault="00000000" w:rsidRPr="00000000" w14:paraId="00000048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  <w:t xml:space="preserve">Limited new development</w:t>
      </w:r>
    </w:p>
    <w:p w:rsidR="00000000" w:rsidDel="00000000" w:rsidP="00000000" w:rsidRDefault="00000000" w:rsidRPr="00000000" w14:paraId="00000049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  <w:t xml:space="preserve">Focus on capturing existing demand.</w:t>
      </w:r>
    </w:p>
    <w:p w:rsidR="00000000" w:rsidDel="00000000" w:rsidP="00000000" w:rsidRDefault="00000000" w:rsidRPr="00000000" w14:paraId="0000004A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  <w:t xml:space="preserve">8. Affordability and Cost Pressure</w:t>
      </w:r>
    </w:p>
    <w:p w:rsidR="00000000" w:rsidDel="00000000" w:rsidP="00000000" w:rsidRDefault="00000000" w:rsidRPr="00000000" w14:paraId="0000004C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  <w:t xml:space="preserve">Housing affordability index: below 80</w:t>
      </w:r>
    </w:p>
    <w:p w:rsidR="00000000" w:rsidDel="00000000" w:rsidP="00000000" w:rsidRDefault="00000000" w:rsidRPr="00000000" w14:paraId="0000004D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  <w:t xml:space="preserve">High share of income spent on necessities</w:t>
      </w:r>
    </w:p>
    <w:p w:rsidR="00000000" w:rsidDel="00000000" w:rsidP="00000000" w:rsidRDefault="00000000" w:rsidRPr="00000000" w14:paraId="0000004E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  <w:t xml:space="preserve">Consumers prioritize essential spending.</w:t>
      </w:r>
    </w:p>
    <w:p w:rsidR="00000000" w:rsidDel="00000000" w:rsidP="00000000" w:rsidRDefault="00000000" w:rsidRPr="00000000" w14:paraId="0000004F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  <w:t xml:space="preserve">9. Diversity and Language</w:t>
      </w:r>
    </w:p>
    <w:p w:rsidR="00000000" w:rsidDel="00000000" w:rsidP="00000000" w:rsidRDefault="00000000" w:rsidRPr="00000000" w14:paraId="00000051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  <w:t xml:space="preserve">Primarily English-speaking</w:t>
      </w:r>
    </w:p>
    <w:p w:rsidR="00000000" w:rsidDel="00000000" w:rsidP="00000000" w:rsidRDefault="00000000" w:rsidRPr="00000000" w14:paraId="00000052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  <w:t xml:space="preserve">Some Spanish-speaking population (10–20%)</w:t>
      </w:r>
    </w:p>
    <w:p w:rsidR="00000000" w:rsidDel="00000000" w:rsidP="00000000" w:rsidRDefault="00000000" w:rsidRPr="00000000" w14:paraId="00000053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  <w:t xml:space="preserve">Limited bilingual support may be needed.</w:t>
      </w:r>
    </w:p>
    <w:p w:rsidR="00000000" w:rsidDel="00000000" w:rsidP="00000000" w:rsidRDefault="00000000" w:rsidRPr="00000000" w14:paraId="00000054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  <w:t xml:space="preserve">Scoring Method</w:t>
      </w:r>
    </w:p>
    <w:p w:rsidR="00000000" w:rsidDel="00000000" w:rsidP="00000000" w:rsidRDefault="00000000" w:rsidRPr="00000000" w14:paraId="00000056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  <w:t xml:space="preserve">Assign 1 point per category (total 9)</w:t>
      </w:r>
    </w:p>
    <w:p w:rsidR="00000000" w:rsidDel="00000000" w:rsidP="00000000" w:rsidRDefault="00000000" w:rsidRPr="00000000" w14:paraId="00000057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  <w:t xml:space="preserve">7–9: Strong match</w:t>
      </w:r>
    </w:p>
    <w:p w:rsidR="00000000" w:rsidDel="00000000" w:rsidP="00000000" w:rsidRDefault="00000000" w:rsidRPr="00000000" w14:paraId="00000058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  <w:t xml:space="preserve">5–6: Moderate match</w:t>
      </w:r>
    </w:p>
    <w:p w:rsidR="00000000" w:rsidDel="00000000" w:rsidP="00000000" w:rsidRDefault="00000000" w:rsidRPr="00000000" w14:paraId="00000059">
      <w:pPr>
        <w:spacing w:after="240" w:before="240" w:line="288.00000000000006" w:lineRule="auto"/>
        <w:rPr/>
      </w:pPr>
      <w:r w:rsidDel="00000000" w:rsidR="00000000" w:rsidRPr="00000000">
        <w:rPr>
          <w:rtl w:val="0"/>
        </w:rPr>
        <w:t xml:space="preserve">Below 5: Weak match</w:t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