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맑은 고딕" w:hAnsi="맑은 고딕" w:eastAsia="맑은 고딕"/>
          <w:b/>
          <w:sz w:val="32"/>
        </w:rPr>
        <w:t>제3자 변제 주관기관 조정검토</w:t>
      </w:r>
    </w:p>
    <w:p>
      <w:pPr>
        <w:spacing w:after="160"/>
        <w:jc w:val="center"/>
      </w:pPr>
      <w:r>
        <w:rPr>
          <w:rFonts w:ascii="맑은 고딕" w:hAnsi="맑은 고딕" w:eastAsia="맑은 고딕"/>
          <w:b w:val="0"/>
          <w:sz w:val="21"/>
        </w:rPr>
        <w:t>- 강제동원 제3자 변제 업무의 외교부 소관 기관 추진 필요성 검토 -</w:t>
      </w:r>
    </w:p>
    <w:p>
      <w:pPr>
        <w:spacing w:after="40"/>
      </w:pPr>
      <w:r>
        <w:rPr>
          <w:rFonts w:ascii="맑은 고딕" w:hAnsi="맑은 고딕" w:eastAsia="맑은 고딕"/>
          <w:b w:val="0"/>
          <w:sz w:val="8"/>
        </w:rPr>
        <w:t xml:space="preserve">　</w:t>
      </w:r>
    </w:p>
    <w:p>
      <w:pPr>
        <w:spacing w:before="8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검토 배경 및 목적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(배경) 2018.10.30. 대법원 전원합의체의 강제동원 손해배상 확정판결 이후, 정부는 2023.3.6. 원고 측에 판결금·지연이자를 대신 지급하는 「제3자 변제」 해법 발표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현재 행정안전부 산하 「일제강제동원피해자지원재단」(이하 “재단”)이 변제 집행을 수행 중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(목적) 제3자 변제가 본질적으로 대일(對日) 외교현안 관리·협상 사안임에도 집행주체와 정책주무(외교부) 간 소관 불일치가 상존 → 주관기관 조정 필요성 검토</w:t>
      </w:r>
    </w:p>
    <w:p>
      <w:pPr>
        <w:spacing w:before="12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제3자 변제 추진 경과 및 현황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(판결) ’18.10.30. 대법원, 일본기업의 개인 손해배상책임 확정 → 후속 소송에서도 동일 취지 확정판결 잇따라 대상자 지속 증가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(해법) ’23.3.6. 정부 발표 → 재단이 확정판결 원고에게 판결금 상당액 변제, 재원은 민간의 자발적 기여로 조성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(집행) 상당수 원고·유족은 수령, 그러나 일부 피해자·유족은 수용 거부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재단, 미수령자에 대해 공탁 시도 → 법원, 채권자(피해자)의 명시적 반대를 이유로 공탁 불수리(민법 제469조 제3자 변제 요건 미충족)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(현황) 후속 확정판결 누적으로 변제 대상 확대, 재원 소진·추가 조성 부담 가중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0"/>
        </w:rPr>
        <w:t>※ 대상자 수·수령 인원·재원 규모 등 구체 수치는 공개자료 기준 재확인 필요</w:t>
      </w:r>
    </w:p>
    <w:p>
      <w:pPr>
        <w:spacing w:before="12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현행 재단 수행체계의 문제점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(권한 한계) 재단은 지원·기념사업 목적의 특수법인으로, 대외 협상·조정 권한 부재 → 변제를 둘러싼 외교적 쟁점 관리 곤란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(재원 지속성) 민간 자발적 기여에 의존 → 대상 확대 시 재원 안정성·예측가능성 취약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(집행 안정성) 공탁 불수리 사례에서 보듯, 법적 변제 완결성 확보에 구조적 한계 노출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(책임·정합성) 정책 결정(외교부)과 집행(행안부 산하 재단)의 분리로 책임소재 불명확 및 대일 협의와의 연계 저하</w:t>
      </w:r>
    </w:p>
    <w:p>
      <w:pPr>
        <w:spacing w:before="12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예상 반론(외교부 현 체제 유지론)과 대응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(반론1) “재단이 축적한 전문성·중립성 유지가 바람직”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(대응) 재단의 실무 전문성은 소속 조정 후에도 인력·기능 이관으로 승계 가능, 쟁점은 전문성이 아니라 정책·집행의 소관 정합성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(반론2) “한일관계 민감성상 정부 전면화는 부담”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(대응) 제3자 변제는 이미 정부 발표 해법으로 사실상 정부 정책, 외교부 소관화가 오히려 협의 창구 일원화·관리 안정성 제고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(반론3) “소관 이관은 조직·절차 부담”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(대응) 신규 조직 신설이 아닌 기존 기관 활용·주관 지정 조정으로 부담 최소화 가능</w:t>
      </w:r>
    </w:p>
    <w:p>
      <w:pPr>
        <w:spacing w:before="12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주관기관 조정 필요성 및 대안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(필요성) 제3자 변제는 대일 외교현안과 직결 → 정책 주무부처인 외교부 소관 하에 일관 추진하는 것이 책임성·협상력·집행 안정성 측면에서 타당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(대안) ※ 외교부 산하 신규 기구 신설은 배제하고 다음 방안 검토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(대안1) 재단 주무부처를 행안부→외교부로 이관하여 소관·정책 정합성 확보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(대안2) 변제 집행기능을 외교부 소관 기존 기관으로 이관하고 재단은 지원·기념사업에 집중</w:t>
      </w:r>
    </w:p>
    <w:p>
      <w:pPr>
        <w:spacing w:before="40" w:after="40" w:line="269" w:lineRule="auto"/>
        <w:ind w:left="567"/>
      </w:pPr>
      <w:r>
        <w:rPr>
          <w:rFonts w:ascii="맑은 고딕" w:hAnsi="맑은 고딕" w:eastAsia="맑은 고딕"/>
          <w:b w:val="0"/>
          <w:sz w:val="22"/>
        </w:rPr>
        <w:t>- (대안3) 관계부처 협의를 통해 제3자 변제 「주관기관」을 외교부 소관으로 지정·조정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(보완) 이관 시 인력·재원·업무 연속성 확보 및 피해자 소통 창구 안정적 승계 병행</w:t>
      </w:r>
    </w:p>
    <w:p>
      <w:pPr>
        <w:spacing w:before="120" w:after="40" w:line="269" w:lineRule="auto"/>
        <w:ind w:left="0"/>
      </w:pPr>
      <w:r>
        <w:rPr>
          <w:rFonts w:ascii="맑은 고딕" w:hAnsi="맑은 고딕" w:eastAsia="맑은 고딕"/>
          <w:b/>
          <w:sz w:val="24"/>
        </w:rPr>
        <w:t>□ 결론 및 건의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현행 재단 수행체계는 권한·재원·집행 완결성 측면에서 한계가 명확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신규 조직 신설 없이 기존 기관 활용·주관 조정 방식으로 외교부 소관 추진 전환 건의</w:t>
      </w:r>
    </w:p>
    <w:p>
      <w:pPr>
        <w:spacing w:before="40" w:after="40" w:line="269" w:lineRule="auto"/>
        <w:ind w:left="283"/>
      </w:pPr>
      <w:r>
        <w:rPr>
          <w:rFonts w:ascii="맑은 고딕" w:hAnsi="맑은 고딕" w:eastAsia="맑은 고딕"/>
          <w:b w:val="0"/>
          <w:sz w:val="22"/>
        </w:rPr>
        <w:t>○ 관계부처(외교부·행안부) 협의체를 통해 이관 범위·시기·재원 방안 구체화 추진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