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맑은 고딕" w:hAnsi="맑은 고딕" w:eastAsia="맑은 고딕"/>
          <w:b/>
          <w:sz w:val="32"/>
        </w:rPr>
        <w:t>제3자 변제 주관기관 조정검토</w:t>
      </w:r>
    </w:p>
    <w:p>
      <w:pPr>
        <w:spacing w:after="120"/>
        <w:jc w:val="center"/>
      </w:pPr>
      <w:r>
        <w:rPr>
          <w:rFonts w:ascii="맑은 고딕" w:hAnsi="맑은 고딕" w:eastAsia="맑은 고딕"/>
          <w:b w:val="0"/>
          <w:sz w:val="21"/>
        </w:rPr>
        <w:t>- 강제동원 제3자 변제 업무의 외교부 소관 기관 추진 필요성 검토 -</w:t>
      </w:r>
    </w:p>
    <w:p>
      <w:pPr>
        <w:spacing w:before="120" w:after="40" w:line="259" w:lineRule="auto"/>
        <w:ind w:left="0"/>
      </w:pPr>
      <w:r>
        <w:rPr>
          <w:rFonts w:ascii="맑은 고딕" w:hAnsi="맑은 고딕" w:eastAsia="맑은 고딕"/>
          <w:b/>
          <w:sz w:val="24"/>
        </w:rPr>
        <w:t>□ 검토 배경 및 목적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(배경) ’18.10.30. 대법원 전원합의체의 강제동원 손해배상 확정판결 이후, 정부는 ’23.3.6. 원고 측에 판결금·지연이자를 대신 지급하는 「제3자 변제」 해법 발표</w:t>
      </w:r>
    </w:p>
    <w:p>
      <w:pPr>
        <w:spacing w:before="20" w:after="20" w:line="259" w:lineRule="auto"/>
        <w:ind w:left="567"/>
      </w:pPr>
      <w:r>
        <w:rPr>
          <w:rFonts w:ascii="맑은 고딕" w:hAnsi="맑은 고딕" w:eastAsia="맑은 고딕"/>
          <w:b w:val="0"/>
          <w:sz w:val="21"/>
        </w:rPr>
        <w:t>- 현재 행정안전부 산하 「일제강제동원피해자지원재단」(이하 “재단”)이 변제 집행 수행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(목적) 제3자 변제는 본질적으로 대일(對日) 외교현안 관리·협상 사안 → 정책주무(외교부)와 집행주체(재단) 간 소관 불일치 상존, 주관기관 조정 필요성 검토</w:t>
      </w:r>
    </w:p>
    <w:p>
      <w:pPr>
        <w:spacing w:before="120" w:after="40" w:line="259" w:lineRule="auto"/>
        <w:ind w:left="0"/>
      </w:pPr>
      <w:r>
        <w:rPr>
          <w:rFonts w:ascii="맑은 고딕" w:hAnsi="맑은 고딕" w:eastAsia="맑은 고딕"/>
          <w:b/>
          <w:sz w:val="24"/>
        </w:rPr>
        <w:t>□ 제3자 변제 추진 경과 및 현황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(판결) ’18.10.30. 대법원, 일본기업의 개인 손해배상책임 확정 → 후속 확정판결 누적으로 대상자 지속 증가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(해법·집행) ’23.3.6. 정부 발표 → 재단이 판결금 상당액을 민간 자발적 기여 재원으로 변제</w:t>
      </w:r>
    </w:p>
    <w:p>
      <w:pPr>
        <w:spacing w:before="20" w:after="20" w:line="259" w:lineRule="auto"/>
        <w:ind w:left="567"/>
      </w:pPr>
      <w:r>
        <w:rPr>
          <w:rFonts w:ascii="맑은 고딕" w:hAnsi="맑은 고딕" w:eastAsia="맑은 고딕"/>
          <w:b w:val="0"/>
          <w:sz w:val="21"/>
        </w:rPr>
        <w:t>- 상당수 원고·유족 수령, 일부 피해자·유족은 수용 거부 → 재단, 미수령자에 공탁 시도 → 법원, 채권자 반대를 이유로 공탁 불수리(「민법」 §469 제3자 변제 요건 미충족)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(재단의 법적 근거) 재단은 「대일항쟁기 강제동원 피해조사 및 국외강제동원희생자 등 지원에 관한 특별법」 §37, 「민법」 §32 등에 근거한 비영리법인</w:t>
      </w:r>
    </w:p>
    <w:p>
      <w:pPr>
        <w:spacing w:before="20" w:after="20" w:line="259" w:lineRule="auto"/>
        <w:ind w:left="567"/>
      </w:pPr>
      <w:r>
        <w:rPr>
          <w:rFonts w:ascii="맑은 고딕" w:hAnsi="맑은 고딕" w:eastAsia="맑은 고딕"/>
          <w:b w:val="0"/>
          <w:sz w:val="21"/>
        </w:rPr>
        <w:t>- 법정 목적사업은 추도·위령, 사료관·박물관 건립, 문화·학술·조사연구 등 지원사업으로, 일본기업 배상채무의 대납(제3자 변제)은 설립근거 법령상 목적사업에 미포함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19"/>
        </w:rPr>
        <w:t>※ 대상자 수·수령 인원·재원 규모 등 구체 수치는 공개자료 기준 재확인 필요</w:t>
      </w:r>
    </w:p>
    <w:p>
      <w:pPr>
        <w:spacing w:before="120" w:after="40" w:line="259" w:lineRule="auto"/>
        <w:ind w:left="0"/>
      </w:pPr>
      <w:r>
        <w:rPr>
          <w:rFonts w:ascii="맑은 고딕" w:hAnsi="맑은 고딕" w:eastAsia="맑은 고딕"/>
          <w:b/>
          <w:sz w:val="24"/>
        </w:rPr>
        <w:t>□ 현행 재단 수행체계의 문제점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(목적 외 수행) 배상금 대납은 재단 법정 목적사업 범위 밖 → 수행 법적근거 취약, 설립목적 외 활동 논란 소지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(권한 한계) 지원·기념 목적 특수법인으로 대외 협상·조정 권한 부재 → 외교적 쟁점 관리 곤란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(재원·완결성) 민간 자발적 기여 의존으로 재원 안정성 취약, 공탁 불수리로 변제 완결도 곤란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(최근 비정상 상황) 공탁 강행 과정에서 재단 인감 위조 확인(가짜 인감 5개·최소 58회 사용)</w:t>
      </w:r>
    </w:p>
    <w:p>
      <w:pPr>
        <w:spacing w:before="20" w:after="20" w:line="259" w:lineRule="auto"/>
        <w:ind w:left="567"/>
      </w:pPr>
      <w:r>
        <w:rPr>
          <w:rFonts w:ascii="맑은 고딕" w:hAnsi="맑은 고딕" w:eastAsia="맑은 고딕"/>
          <w:b w:val="0"/>
          <w:sz w:val="21"/>
        </w:rPr>
        <w:t>- ’26.6월 재단 이사회, 관련 책임을 물어 이사장·사무처장 해임안 의결(행안부 장관 해임명령 절차 잔존)</w:t>
      </w:r>
    </w:p>
    <w:p>
      <w:pPr>
        <w:spacing w:before="20" w:after="20" w:line="259" w:lineRule="auto"/>
        <w:ind w:left="567"/>
      </w:pPr>
      <w:r>
        <w:rPr>
          <w:rFonts w:ascii="맑은 고딕" w:hAnsi="맑은 고딕" w:eastAsia="맑은 고딕"/>
          <w:b w:val="0"/>
          <w:sz w:val="21"/>
        </w:rPr>
        <w:t>- 정책 결정(외교부)과 집행(행안부 산하 재단) 분리 구조에서 절차적 통제 미흡 노정</w:t>
      </w:r>
    </w:p>
    <w:p>
      <w:pPr>
        <w:spacing w:before="120" w:after="40" w:line="259" w:lineRule="auto"/>
        <w:ind w:left="0"/>
      </w:pPr>
      <w:r>
        <w:rPr>
          <w:rFonts w:ascii="맑은 고딕" w:hAnsi="맑은 고딕" w:eastAsia="맑은 고딕"/>
          <w:b/>
          <w:sz w:val="24"/>
        </w:rPr>
        <w:t>□ 외교부 소관 기관 현황 및 담당 가능 여부 검토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(현황) 외교부 소관 주요기관은 각 개별법에 목적사업이 특정됨</w:t>
      </w:r>
    </w:p>
    <w:p>
      <w:pPr>
        <w:spacing w:before="20" w:after="20" w:line="259" w:lineRule="auto"/>
        <w:ind w:left="567"/>
      </w:pPr>
      <w:r>
        <w:rPr>
          <w:rFonts w:ascii="맑은 고딕" w:hAnsi="맑은 고딕" w:eastAsia="맑은 고딕"/>
          <w:b w:val="0"/>
          <w:sz w:val="21"/>
        </w:rPr>
        <w:t>- 한국국제협력단(KOICA): 「한국국제협력단법」상 개도국 개발협력·무상원조</w:t>
      </w:r>
    </w:p>
    <w:p>
      <w:pPr>
        <w:spacing w:before="20" w:after="20" w:line="259" w:lineRule="auto"/>
        <w:ind w:left="567"/>
      </w:pPr>
      <w:r>
        <w:rPr>
          <w:rFonts w:ascii="맑은 고딕" w:hAnsi="맑은 고딕" w:eastAsia="맑은 고딕"/>
          <w:b w:val="0"/>
          <w:sz w:val="21"/>
        </w:rPr>
        <w:t>- 한국국제교류재단(KF): 「한국국제교류재단법」상 국제교류·한국 이해 증진</w:t>
      </w:r>
    </w:p>
    <w:p>
      <w:pPr>
        <w:spacing w:before="20" w:after="20" w:line="259" w:lineRule="auto"/>
        <w:ind w:left="567"/>
      </w:pPr>
      <w:r>
        <w:rPr>
          <w:rFonts w:ascii="맑은 고딕" w:hAnsi="맑은 고딕" w:eastAsia="맑은 고딕"/>
          <w:b w:val="0"/>
          <w:sz w:val="21"/>
        </w:rPr>
        <w:t>- 재외동포청·재외동포협력센터: 「재외동포기본법」 §11상 재외동포 지원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(시사점) 현행법상 어느 기관도 배상 대납을 즉시 담당하기는 곤란 → 이는 재단 수행의 정당성이 아니라 근거 정비 필요성을 의미하며, 정책주무 외교부 소관 하 정비·추진이 타당</w:t>
      </w:r>
    </w:p>
    <w:p>
      <w:pPr>
        <w:spacing w:before="120" w:after="40" w:line="259" w:lineRule="auto"/>
        <w:ind w:left="0"/>
      </w:pPr>
      <w:r>
        <w:rPr>
          <w:rFonts w:ascii="맑은 고딕" w:hAnsi="맑은 고딕" w:eastAsia="맑은 고딕"/>
          <w:b/>
          <w:sz w:val="24"/>
        </w:rPr>
        <w:t>□ 예상 반론(현 체제 유지론)과 대응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(반론) 재단 전문성·중립성 유지, 한일관계 민감성, 조직 신설 부담</w:t>
      </w:r>
    </w:p>
    <w:p>
      <w:pPr>
        <w:spacing w:before="20" w:after="20" w:line="259" w:lineRule="auto"/>
        <w:ind w:left="567"/>
      </w:pPr>
      <w:r>
        <w:rPr>
          <w:rFonts w:ascii="맑은 고딕" w:hAnsi="맑은 고딕" w:eastAsia="맑은 고딕"/>
          <w:b w:val="0"/>
          <w:sz w:val="21"/>
        </w:rPr>
        <w:t>- (대응) 실무 전문성은 인력·기능 이관으로 승계 가능, 제3자 변제는 이미 정부 발표 해법으로 외교부 소관화가 협의 창구 일원화·관리 안정성에 부합, 신규 조직 신설 없이 조정 가능</w:t>
      </w:r>
    </w:p>
    <w:p>
      <w:pPr>
        <w:spacing w:before="120" w:after="40" w:line="259" w:lineRule="auto"/>
        <w:ind w:left="0"/>
      </w:pPr>
      <w:r>
        <w:rPr>
          <w:rFonts w:ascii="맑은 고딕" w:hAnsi="맑은 고딕" w:eastAsia="맑은 고딕"/>
          <w:b/>
          <w:sz w:val="24"/>
        </w:rPr>
        <w:t>□ 주관기관 조정 필요성 및 대안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(필요성) 대일 외교현안과 직결 → 외교부 소관 하 일관 추진이 책임성·협상력·집행 완결성 측면 타당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(대안) ※ 외교부 산하 신규 기구 신설은 배제하고 다음 검토</w:t>
      </w:r>
    </w:p>
    <w:p>
      <w:pPr>
        <w:spacing w:before="20" w:after="20" w:line="259" w:lineRule="auto"/>
        <w:ind w:left="567"/>
      </w:pPr>
      <w:r>
        <w:rPr>
          <w:rFonts w:ascii="맑은 고딕" w:hAnsi="맑은 고딕" w:eastAsia="맑은 고딕"/>
          <w:b w:val="0"/>
          <w:sz w:val="21"/>
        </w:rPr>
        <w:t>- (대안1) 재단 주무부처를 행안부→외교부로 이관하고 관련 목적사업 근거 정비</w:t>
      </w:r>
    </w:p>
    <w:p>
      <w:pPr>
        <w:spacing w:before="20" w:after="20" w:line="259" w:lineRule="auto"/>
        <w:ind w:left="567"/>
      </w:pPr>
      <w:r>
        <w:rPr>
          <w:rFonts w:ascii="맑은 고딕" w:hAnsi="맑은 고딕" w:eastAsia="맑은 고딕"/>
          <w:b w:val="0"/>
          <w:sz w:val="21"/>
        </w:rPr>
        <w:t>- (대안2) 외교부 소관 기존 기관 활용 시 개별법·정관상 목적사업 정비 병행</w:t>
      </w:r>
    </w:p>
    <w:p>
      <w:pPr>
        <w:spacing w:before="20" w:after="20" w:line="259" w:lineRule="auto"/>
        <w:ind w:left="567"/>
      </w:pPr>
      <w:r>
        <w:rPr>
          <w:rFonts w:ascii="맑은 고딕" w:hAnsi="맑은 고딕" w:eastAsia="맑은 고딕"/>
          <w:b w:val="0"/>
          <w:sz w:val="21"/>
        </w:rPr>
        <w:t>- (대안3) 관계부처 협의로 제3자 변제 「주관기관」을 외교부 소관으로 지정·조정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(보완) 이관 시 인력·재원·업무 연속성 확보 및 피해자 소통창구 안정적 승계 병행</w:t>
      </w:r>
    </w:p>
    <w:p>
      <w:pPr>
        <w:spacing w:before="120" w:after="40" w:line="259" w:lineRule="auto"/>
        <w:ind w:left="0"/>
      </w:pPr>
      <w:r>
        <w:rPr>
          <w:rFonts w:ascii="맑은 고딕" w:hAnsi="맑은 고딕" w:eastAsia="맑은 고딕"/>
          <w:b/>
          <w:sz w:val="24"/>
        </w:rPr>
        <w:t>□ 결론 및 건의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현행 재단 수행체계는 목적사업 정합성·권한·재원·집행 완결성 측면에서 한계가 명확하고, 인감 위조 등 비정상 상황까지 노정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신규 조직 신설 없이 기존 기관 활용·주관 조정 방식으로 외교부 소관 추진 전환 건의</w:t>
      </w:r>
    </w:p>
    <w:p>
      <w:pPr>
        <w:spacing w:before="20" w:after="20" w:line="259" w:lineRule="auto"/>
        <w:ind w:left="283"/>
      </w:pPr>
      <w:r>
        <w:rPr>
          <w:rFonts w:ascii="맑은 고딕" w:hAnsi="맑은 고딕" w:eastAsia="맑은 고딕"/>
          <w:b w:val="0"/>
          <w:sz w:val="21"/>
        </w:rPr>
        <w:t>○ 외교부·행안부 협의체를 통해 이관 범위·시기·재원·근거 정비 방안 구체화 추진</w:t>
      </w:r>
    </w:p>
    <w:p>
      <w:pPr>
        <w:spacing w:before="40" w:after="0" w:line="259" w:lineRule="auto"/>
        <w:ind w:left="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80" w:after="20" w:line="259" w:lineRule="auto"/>
        <w:ind w:left="0"/>
      </w:pPr>
      <w:r>
        <w:rPr>
          <w:rFonts w:ascii="맑은 고딕" w:hAnsi="맑은 고딕" w:eastAsia="맑은 고딕"/>
          <w:b/>
          <w:sz w:val="20"/>
        </w:rPr>
        <w:t>붙임  주요 근거 법령</w:t>
      </w:r>
    </w:p>
    <w:p>
      <w:pPr>
        <w:spacing w:before="20" w:after="20" w:line="259" w:lineRule="auto"/>
        <w:ind w:left="170"/>
      </w:pPr>
      <w:r>
        <w:rPr>
          <w:rFonts w:ascii="맑은 고딕" w:hAnsi="맑은 고딕" w:eastAsia="맑은 고딕"/>
          <w:b w:val="0"/>
          <w:sz w:val="19"/>
        </w:rPr>
        <w:t>- 「대일항쟁기 강제동원 피해조사 및 국외강제동원희생자 등 지원에 관한 특별법」 §37(재단 지원)</w:t>
      </w:r>
    </w:p>
    <w:p>
      <w:pPr>
        <w:spacing w:before="20" w:after="20" w:line="259" w:lineRule="auto"/>
        <w:ind w:left="170"/>
      </w:pPr>
      <w:r>
        <w:rPr>
          <w:rFonts w:ascii="맑은 고딕" w:hAnsi="맑은 고딕" w:eastAsia="맑은 고딕"/>
          <w:b w:val="0"/>
          <w:sz w:val="19"/>
        </w:rPr>
        <w:t>- 「민법」 §469(제3자의 변제) / 「한국국제협력단법」·「한국국제교류재단법」 / 「재외동포기본법」 §11 / 「정부조직법」 §33(재외동포청).  끝.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