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spacing w:before="2800"/><w:jc w:val="center"/></w:pPr><w:r><w:rPr><w:b/><w:color w:val="1B4A6B"/><w:sz w:val="80"/></w:rPr><w:t>GRAMET</w:t></w:r></w:p><w:p><w:pPr><w:spacing w:after="80"/><w:jc w:val="center"/></w:pPr><w:r><w:rPr><w:color w:val="1A1A1A"/><w:sz w:val="32"/></w:rPr><w:t>Fachdokumentation zu Datengrundlage, Physik und Darstellung</w:t></w:r></w:p><w:p><w:pPr><w:spacing w:after="1200"/><w:jc w:val="center"/></w:pPr><w:r><w:rPr><w:i/><w:color w:val="555555"/><w:sz w:val="24"/></w:rPr><w:t>meteokit — Meteogramm-Modul (Punkt- und Pfadmodus)</w:t></w:r></w:p><w:p><w:pPr><w:jc w:val="center"/></w:pPr><w:r><w:rPr><w:color w:val="555555"/><w:sz w:val="20"/></w:rPr><w:t>Stand: Oktober 2026</w:t></w:r></w:p><w:p><w:pPr><w:spacing w:before="1800"/><w:ind w:left="1134" w:right="1134"/><w:jc w:val="center"/></w:pPr><w:r><w:rPr><w:color w:val="555555"/><w:sz w:val="21"/></w:rPr><w:t>Diese Dokumentation richtet sich an fachlich geschulte Nutzer — Flugmeteorologen, Segelflug-, UL- und Drohnenpiloten sowie Entwickler angrenzender Systeme — und beschreibt, welche physikalischen Größen im GRAMET wie berechnet und wie sie grafisch kodiert werden. Sie ersetzt keine Einweisung in die zugrundeliegenden meteorologischen Konzepte, sondern macht transparent, welche konkreten Annahmen, Schwellenwerte und Vereinfachungen in dieser Implementierung stecken.</w:t></w:r></w:p><w:p><w:r><w:br w:type="page"/></w:r></w:p><w:p><w:pPr><w:pStyle w:val="Heading1"/></w:pPr><w:r><w:t>Inhaltsverzeichnis</w:t></w:r></w:p><w:p><w:r><w:fldChar w:fldCharType="begin"/><w:instrText xml:space="preserve">TOC \o "1-3" \h \z \u</w:instrText><w:fldChar w:fldCharType="separate"><w:t>Inhaltsverzeichnis bitte mit rechter Maustaste -&gt; Felder aktualisieren erzeugen.</w:t></w:fldChar><w:fldChar w:fldCharType="end"/></w:r></w:p><w:p><w:r><w:br w:type="page"/></w:r></w:p><w:p><w:pPr><w:pStyle w:val="Heading1"/></w:pPr><w:r><w:t>1. Zweck und Einordnung</w:t></w:r></w:p><w:p><w:pPr/><w:r><w:t>Das GRAMET (nach der Ogimet-Konvention „Graphical Area Forecast Meteogram”) zeigt einen Zeit-Höhen-Schnitt der Atmosphäre über einem festen Ort (Punktmodus) oder entlang einer Flugroute (Pfadmodus). Anders als ein klassisches Meteogramm, das nur Bodenwerte über die Zeit aufträgt, macht das GRAMET die vertikale Struktur sichtbar: Wolken, Vereisung, Turbulenz, Konvektion und Niederschlag jeweils in der Höhe, in der sie laut Modell tatsächlich auftreten.</w:t></w:r></w:p><w:p><w:pPr/><w:r><w:t>Datengrundlage ist ausschließlich numerische Wettermodellvorhersage (ICON-D2/ICON-EU über Open-Meteo, s. Abschnitt 2), keine Beobachtung. Alle im Folgenden beschriebenen Größen — Wolkenbasis, Vereisungspotenzial, Konvektionsobergrenze usw. — sind aus wenigen Modellfeldern (Temperatur, Feuchte, Wind, ggf. Wolkenwasser/-eis und Bedeckungsgrad) abgeleitete Diagnosen, keine direkten Modellausgaben. Ihre Herleitung offenzulegen ist der Zweck dieses Dokuments.</w:t></w:r></w:p><w:p><w:pPr><w:pStyle w:val="Callout"/></w:pPr><w:r><w:t>Hinweis: Ein durchgehender roter Faden dieses Moduls: mehrere der hier beschriebenen Schwellenwerte sind explizit als NICHT kalibrierte Platzhalter im Quellcode gekennzeichnet (Vereisungs- und Turbulenzkategorien, Towering-Hürde, CAPE-/Updraft-Auffangpfad der Konvektion u. a.). Wo das der Fall ist, wird es in diesem Dokument explizit vermerkt. Abschnitt 14 fasst diese Vorbehalte gesammelt zusammen.</w:t></w:r></w:p><w:p><w:pPr><w:pStyle w:val="Heading2"/></w:pPr><w:r><w:t>1.1 Zwei Betriebsarten</w:t></w:r></w:p><w:p><w:pPr><w:pStyle w:val="ListBullet"/></w:pPr><w:r><w:t>Punktmodus: ein fester Ort, Zeitreihe über den Vorhersagehorizont. Höhenachse bezieht sich auf Grund (AGL, „above ground level”), da sich die Bodenhöhe des einen Ortes nicht ändert.</w:t></w:r></w:p><w:p><w:pPr><w:pStyle w:val="ListBullet"/></w:pPr><w:r><w:t>Pfadmodus: eine Folge von Wegpunkten mit Zeitstempel (z. B. eine berechnete Flugtrajektorie), X-Achse ist die verstrichene Zeit seit Pfadbeginn statt der Kalenderzeit. Höhenachse bezieht sich auf Meeresniveau (AMSL), mit der Modell-Orographie als Silhouette im Hintergrund (Ogimet-Konvention, s. Abschnitt 13).</w:t></w:r></w:p><w:p><w:r><w:br w:type="page"/></w:r></w:p><w:p><w:pPr><w:pStyle w:val="Heading1"/></w:pPr><w:r><w:t>2. Datengrundlage und Architektur</w:t></w:r></w:p><w:p><w:pPr><w:pStyle w:val="Heading2"/></w:pPr><w:r><w:t>2.1 Modell-Säule und Oberflächenwerte</w:t></w:r></w:p><w:p><w:pPr/><w:r><w:t>Für jeden Ort/Zeitpunkt werden zwei Datenquellen kombiniert:</w:t></w:r></w:p><w:p><w:pPr><w:pStyle w:val="ListBullet"/></w:pPr><w:r><w:t>Die Modell-„Säule” (Druckflächen bzw. Modelllevel): Temperatur, Wind (u, v, teils Vertikalwind w), spezifische Feuchte, Wolkenwasser/-eis (qw, qi), Bedeckungsgrad (clc) und relative Feuchte, jeweils je Level. Level 0 liegt bei ca. 10 m über Grund, die Level sind aufsteigend geordnet und liefern den Druck direkt (keine eigene hydrostatische Integration nötig).</w:t></w:r></w:p><w:p><w:pPr><w:pStyle w:val="ListBullet"/></w:pPr><w:r><w:t>Oberflächenwerte (2 m/10 m-Diagnostik): 2-m-Temperatur und -Taupunkt, 10-m-Wind und -Böen, Niederschlagssumme, Schneefall, CAPE, METAR-artiger Wettercode („weather_code”) und Sichtweite. Zeitlich per nächstliegendem Zeitstempel (Toleranz 30 Minuten) der Säule zugeordnet. Die Sichtweite liefern nicht alle Modelle (ICON Global nicht); Abschnitt 7 beschreibt den Ersatz.</w:t></w:r></w:p><w:p><w:pPr/><w:r><w:t>Modelle: ICON-D2 (Deutschland/Mitteleuropa, ~2 km Gitterweite) und ICON-EU (europaweit, gröber), bereitgestellt über eine Open-Meteo-kompatible Schnittstelle. Welches Modell greift, hängt vom Standort ab; beide liefern dieselben Feldnamen, sodass die komplette Ableitungskette modellunabhängig ist.</w:t></w:r></w:p><w:p><w:pPr><w:pStyle w:val="Heading2"/></w:pPr><w:r><w:t>2.2 Das Zeit-Höhen-Gitter</w:t></w:r></w:p><w:p><w:pPr/><w:r><w:t>Alle abgeleiteten Größen arbeiten auf einem einheitlichen internen Gitter (Zeitindex × Höhenlevel), SI-Einheiten (K, m/s, kg/kg, m, Pa). Daraus werden einmalig und danach zwischengespeichert (Caching) abgeleitet:</w:t></w:r></w:p><w:p><w:pPr><w:pStyle w:val="ListBullet"/></w:pPr><w:r><w:t>potenzielle Temperatur θ = T·(p₀/p)^(R_d/c_p), p₀ = 1000 hPa</w:t></w:r></w:p><w:p><w:pPr><w:pStyle w:val="ListBullet"/></w:pPr><w:r><w:t>Windbetrag |V| = √(u²+v²)</w:t></w:r></w:p><w:p><w:pPr><w:pStyle w:val="ListBullet"/></w:pPr><w:r><w:t>Wolkenfraktion je Zelle (dreistufige Kaskade, s. Abschnitt 6)</w:t></w:r></w:p><w:p><w:pPr><w:pStyle w:val="ListBullet"/></w:pPr><w:r><w:t>auf gestaffelten Zwischenniveaus (zwischen je zwei Modelllevels): vertikale Windscherung, Brunt-Väisälä-Frequenz und Richardson-Zahl, zusätzlich Scherung und Richardson-Zahl relativ zu einem neutralen logarithmischen Bodenprofil („Überschuss-Scherung”, Grundlage der Turbulenzdiagnose, s. Abschnitt 11.3)</w:t></w:r></w:p><w:p><w:pPr><w:pStyle w:val="Formula"/></w:pPr><w:r><w:t>Scherquadrat:  s² = (∂u/∂z)² + (∂v/∂z)²</w:t><w:br/><w:t>Statische Stabilität:  N² = (g/θ̄)·(∂θ/∂z)</w:t><w:br/><w:t>Richardson-Zahl:  Ri = N² / s²   (undefiniert bzw. NaN, wenn s² ≤ 10⁻⁸ s⁻²)</w:t><w:br/><w:t xml:space="preserve">Überschuss-Scherung:  s²_Ex = |ΔV − V(z_ref)·Δf|² / Δz²,   Ri_Ex = N² / s²_Ex</w:t></w:r></w:p><w:p><w:pPr><w:pStyle w:val="Heading2"/></w:pPr><w:r><w:t>2.3 Pfadmodus: Streckenabruf</w:t></w:r></w:p><w:p><w:pPr/><w:r><w:t>Im Pfadmodus wird nicht jeder Wegpunkt einzeln abgefragt. Eine adaptive Sampling-Regel holt eine neue volle Modell-Säule erst dann, wenn seit dem letzten Abruf entweder die zeitliche Modellauflösung (stündlich) oder die räumliche Gitterweite des Modells überschritten wurde — je nachdem, was zuerst eintritt. Das bildet ab, wann das Modell überhaupt neue Information liefert, statt pauschal eine feste Spaltenzahl über die Strecke zu verteilen. Ein optionales Nachverdichten (Interpolation auf eine feinere Kadenz) steht zusätzlich zur Verfügung.</w:t></w:r></w:p><w:p><w:pPr><w:pStyle w:val="ListBullet"/></w:pPr><w:r><w:t>Abrufe laufen parallel (bis zu 8 gleichzeitige Säulen-Requests), um lange Strecken in praktikabler Zeit zu laden.</w:t></w:r></w:p><w:p><w:pPr><w:pStyle w:val="ListBullet"/></w:pPr><w:r><w:t>Verlässt ein Wegpunkt die Bounding Box des gewählten Modells, bricht der Pfad dort ab („Rand des Modellgebiets erreicht”) — geprüft VOR dem Netzwerk-Request, damit ein Punkt außerhalb des Gebiets nicht durch die Nächste-Zelle-Suche der Schnittstelle unbemerkt einen falschen Ort liefert.</w:t></w:r></w:p><w:p><w:pPr><w:pStyle w:val="ListBullet"/></w:pPr><w:r><w:t>Liegt ein Punkt innerhalb der Bounding Box, aber außerhalb des tatsächlichen, unregelmäßig geschnittenen Modellgebiets (z. B. ICON-D2-Rand), liefert die Schnittstelle eine leere Zeitreihe; auch das beendet den Pfad an dieser Stelle („Keine Modelldaten an diesem Punkt”).</w:t></w:r></w:p><w:p><w:r><w:br w:type="page"/></w:r></w:p><w:p><w:pPr><w:pStyle w:val="Heading1"/></w:pPr><w:r><w:t>3. Aufbau der Darstellung</w:t></w:r></w:p><w:p><w:pPr/><w:r><w:t>Das GRAMET besteht aus drei übereinander angeordneten Bereichen: der Hauptfläche (Höhenschnitt), einem schmalen Boden- bzw. Geländestreifen darunter, und einem Stapel von Zahlen-/Symbolzeilen mit Bodenwerten (Wind, Böen, Sicht, Wetter, Temperatur/Taupunkt, Luftdruck).</w:t></w:r></w:p><w:p><w:pPr><w:pStyle w:val="Heading2"/></w:pPr><w:r><w:t>3.1 Höhenachse</w:t></w:r></w:p><w:p><w:pPr><w:pStyle w:val="ListBullet"/></w:pPr><w:r><w:t>Zwei Achsenmodi: logarithmisch (gesamte verfügbare Höhe, Standardansicht) oder linear gezoomt auf einen vorgegebenen Flughöhenbereich.</w:t></w:r></w:p><w:p><w:pPr><w:pStyle w:val="ListBullet"/></w:pPr><w:r><w:t>Obergrenze der „Gesamthöhe”: knapp oberhalb der diagnostizierten Tropopause (+2500 m Puffer, damit ein überschießender Cb-Amboss vollständig sichtbar bleibt) bzw. ein fester Ersatzwert von 15 000 m, falls keine Tropopause gefunden wird. Der volle Modelldeckel (bis ~20–22 km) wird bewusst NICHT gezeigt — oberhalb der Tropopause passiert für die Luftfahrt nichts mehr, und die halbe Tafel bliebe leere Stratosphäre.</w:t></w:r></w:p><w:p><w:pPr><w:pStyle w:val="ListBullet"/></w:pPr><w:r><w:t>Punktmodus: Höhe über Grund (AGL). Pfadmodus: Höhe über Meeresniveau (AMSL), s. Abschnitt 13.</w:t></w:r></w:p><w:p><w:pPr><w:pStyle w:val="Heading2"/></w:pPr><w:r><w:t>3.2 Tag/Nacht-Hintergrund</w:t></w:r></w:p><w:p><w:pPr/><w:r><w:t>Der Himmelshintergrund der Hauptfläche verläuft kontinuierlich zwischen Nachtblau und Tagblau, gesteuert durch die astronomische Sonnenhöhe am jeweiligen Ort/Zeitpunkt: voll „Tag” ab 0° Sonnenhöhe, voll „Nacht” ab −12° (Ende der nautischen Dämmerung), dazwischen linear interpoliert. Der Bodenstreifen (bzw. im Pfadmodus die Geländesilhouette) folgt demselben Verlauf, damit Himmel und Boden gemeinsam auf- und abdunkeln.</w:t></w:r></w:p><w:p><w:pPr><w:pStyle w:val="Heading2"/></w:pPr><w:r><w:t>3.3 Interaktive Bedienung</w:t></w:r></w:p><w:p><w:pPr><w:pStyle w:val="ListBullet"/></w:pPr><w:r><w:t>Ebenen einzeln aus-/einblendbar: Isothermen, Isotachen, Hazards (Vereisung/Turbulenz), Windfiedern-Overlay, Gelände (nur Pfadmodus).</w:t></w:r></w:p><w:p><w:pPr><w:pStyle w:val="ListBullet"/></w:pPr><w:r><w:t>Höhen-Umschalter zwischen voller Höhe (logarithmisch) und Zoom auf eine vorgegebene Flughöhe (linear) — dieselbe Umschaltfläche wie im Höhenschnitt (Cross-Section) der App.</w:t></w:r></w:p><w:p><w:pPr><w:pStyle w:val="ListBullet"/></w:pPr><w:r><w:t>Hover zeigt Werte an der Cursorposition als Tooltip; ein Positions-cursor markiert eine gewählte Stelle dauerhaft (z. B. die aktuelle Position bei einer Live-Trajektorie).</w:t></w:r></w:p><w:p><w:pPr><w:pStyle w:val="ListBullet"/></w:pPr><w:r><w:t>PNG-Export der aktuellen Ansicht.</w:t></w:r></w:p><w:p><w:pPr><w:pStyle w:val="ListBullet"/></w:pPr><w:r><w:t>Der Chart reagiert per ResizeObserver auf Größenänderungen seines Containers (z. B. Sidebar-Umschaltung in der Host-App), nicht nur auf Änderungen der Fenstergröße.</w:t></w:r></w:p><w:p><w:r><w:br w:type="page"/></w:r></w:p><w:p><w:pPr><w:pStyle w:val="Heading1"/></w:pPr><w:r><w:t>4. Thermodynamische Grundfelder</w:t></w:r></w:p><w:p><w:pPr><w:pStyle w:val="Heading2"/></w:pPr><w:r><w:t>4.1 Isothermen</w:t></w:r></w:p><w:p><w:pPr/><w:r><w:t>Gezeichnet werden die 0 °C-, −20 °C- und −40 °C-Linien — meteorologisch die relevanten Schwellen für Vereisung (0 °C), Kernvereisungsbereich (−20 °C) und praktisch reine Eisphase (−40 °C). Je Zeitspalte wird das Höhenprofil auf Kreuzungspunkte mit der jeweiligen Schwelltemperatur abgesucht; die Punkte benachbarter Spalten werden zu Linienzügen verkettet, sofern der Sprung zwischen zwei Spalten unter 1500 m bleibt (sonst gilt die Isotherme als unterbrochen — verhindert, dass zwei physikalisch unzusammenhängende Kreuzungen zu einer sprunghaften Linie verbunden werden, etwa bei mehreren Kreuzungen durch eine Inversion). Liegt die Bodentemperatur (2 m) oder schon das unterste Modelllevel (ca. 10 m) unter 0 °C, gilt nach fliegerischem Sprachgebrauch der Boden als Nullgradgrenze („Freezing Level Surface“, FZLVL SFC): Die 0 °C-Linie läuft dann am Boden entlang, auch wenn darüber noch eine warme Schicht folgt, und steigt erst dort wieder auf, wo beide 0 °C erreichen. Gezeichnet wird sie dabei knapp oberhalb von Bodenstreifen bzw. Geländesilhouette.</w:t></w:r></w:p><w:p><w:pPr><w:pStyle w:val="Heading2"/></w:pPr><w:r><w:t>4.2 Isotachen</w:t></w:r></w:p><w:p><w:pPr/><w:r><w:t>Konturlinien des horizontalen Windbetrags bei 50, 75 und 100 kt, erzeugt mit einem klassischen „Marching-Squares”-Verfahren auf dem Zeit-Höhen-Gitter (bilineare Kantenkreuzung je Gitterzelle, Sattelpunkte über den Zellmittelwert aufgelöst). Dasselbe Konturverfahren liefert später auch die Umrisse der Vereisungs- und Turbulenzflächen (Abschnitte 10/11).</w:t></w:r></w:p><w:p><w:pPr><w:pStyle w:val="Heading2"/></w:pPr><w:r><w:t>4.3 Tropopause</w:t></w:r></w:p><w:p><w:pPr/><w:r><w:t>Nach dem WMO-Kriterium: das unterste Niveau oberhalb 5000 m, ab dem der Temperaturgradient über eine zusammenhängende 2-km-Schicht nicht mehr 2 K/km überschreitet. Wird dieses Kriterium in einer Spalte nicht erfüllt (z. B. weil das Gitter zu früh endet), bleibt die Spalte ohne Tropopausen-punkt; die entstehende Linie wird mit einem gleitenden 3-Punkt-Mittel geglättet. Die Tropopause ist neben ihrer eigenen Anzeige auch Eingabegröße für die Cb/TCU-Unterscheidung (Abschnitt 9.5) und für die vertikale Begrenzung der „Gesamthöhe”-Ansicht (Abschnitt 3.1).</w:t></w:r></w:p><w:p><w:r><w:br w:type="page"/></w:r></w:p><w:p><w:pPr><w:pStyle w:val="Heading1"/></w:pPr><w:r><w:t>5. Wind</w:t></w:r></w:p><w:p><w:pPr><w:pStyle w:val="Heading2"/></w:pPr><w:r><w:t>5.1 Bodenwind-Zeile</w:t></w:r></w:p><w:p><w:pPr/><w:r><w:t>Die erste Zahlenreihe zeigt den 10-m-Wind als klassische Windfieder (meteorologische Konvention): Fähnchen = 50 kt, voller Strich = 10 kt, halber Strich = 5 kt, Kalmenkreis unter 2,5 kt. Werte werden nur gezeichnet, wenn der Pixelabstand zur zuletzt gezeichneten Fieder einen Mindestabstand nicht unterschreitet (Kollisionsvermeidung bei dichten Zeitachsen).</w:t></w:r></w:p><w:p><w:pPr><w:pStyle w:val="Heading2"/></w:pPr><w:r><w:t>5.2 Windfiedern-Overlay in der Hauptfläche</w:t></w:r></w:p><w:p><w:pPr/><w:r><w:t>Optional zuschaltbar: ein Raster von Windfiedern direkt im Höhenschnitt. Die Zeilen sind in Pixeln, nicht in Modelllevel-Schritten, gleichmäßig über die sichtbare Höhenskala verteilt — unabhängig davon, ob gerade logarithmisch oder linear gezoomt dargestellt wird, und unabhängig von der (am Boden viel dichteren) Level-Verteilung des Modells. An jeder Zeile wird die Säule auf die Zielhöhe interpoliert; die Windrichtung wird dabei über den kürzeren Bogen gemittelt (nicht durch rohe Komponenten-Interpolation mit anschließender Rückrechnung, was bei Windsprüngen um Nord falsche Zwischenwerte ergäbe).</w:t></w:r></w:p><w:p><w:r><w:br w:type="page"/></w:r></w:p><w:p><w:pPr><w:pStyle w:val="Heading1"/></w:pPr><w:r><w:t>6. Wolken</w:t></w:r></w:p><w:p><w:pPr/><w:r><w:t>Die Wolkendarstellung ist die zentrale Fläche des GRAMET und zugleich Grundlage mehrerer anderer Diagnosen (Vereisung, Nebel/Dunst, Niederschlags-Obergrenze, Konvektionsklassifikation). Sie beruht auf EINER gemeinsamen Funktion für die Wolkenfraktion je Gitterzelle, die im gesamten meteokit-Projekt konsistent verwendet wird (Höhenschnitt, Meteogramm-Ceiling, Go/No-Go-Tabelle, METAR-Briefing) — es gibt also nur EINE Wolkenphysik, nicht mehrere leicht unterschiedliche pro Ansicht.</w:t></w:r></w:p><w:p><w:pPr><w:pStyle w:val="Heading2"/></w:pPr><w:r><w:t>6.1 Die dreistufige Wolkenfraktion</w:t></w:r></w:p><w:p><w:pPr/><w:r><w:t>Für jede Gitterzelle wird eine Wolkenfraktion (0…1) nach der besten verfügbaren Datenquelle bestimmt, in dieser Rangfolge:</w:t></w:r></w:p><w:p><w:pPr><w:pStyle w:val="ListNumber"/></w:pPr><w:r><w:t>Modell-Bedeckungsgrad (clc): wird, wo vorhanden, unverändert übernommen (CF = clc / 100). Dies ist ICONs eigene Bewölkungsdiagnose inklusive subskaliger (nicht gitterauflösbarer) Bewölkung und schlägt jede Feuchte-Heuristik.</w:t></w:r></w:p><w:p><w:pPr><w:pStyle w:val="ListNumber"/></w:pPr><w:r><w:t>Wolkenwasser-/Wolkeneisgehalt (qw, qi), wenn clc fehlt: eine Sättigungs-funktion mit getrennten Skalen für Wasser und Eis (Eis erzeugt bei gleicher Masse mehr Bedeckung als Wasser).</w:t></w:r></w:p><w:p><w:pPr><w:pStyle w:val="ListNumber"/></w:pPr><w:r><w:t>Sundqvist-Feuchte-Fallback aus spezifischer Feuchte bzw. relativer Feuchte, wenn weder clc noch qw/qi vorliegen.</w:t></w:r></w:p><w:p><w:pPr><w:pStyle w:val="Formula"/></w:pPr><w:r><w:t>Stufe 2 (Kondensat):</w:t><w:br/><w:t>CF = 1 − exp[−(qw/a_w + qi/a_i)],  a_w = 2·10⁻⁵ kg/kg,  a_i = 5·10⁻⁶ kg/kg</w:t></w:r></w:p><w:p><w:pPr/><w:r><w:t>Das Verhältnis a_w/a_i ≈ 4 (Eis „zählt” pro Masseneinheit stärker als Wasser) lehnt sich an eine Regressionsstudie zu einer Kondensat-basierten Wolkenbedeckungs-Parametrisierung an (Grundner et al. 2024, JAMES — dort ein datengetriebenes Ersatzschema für ~80-km-Klimamodellauflösung). Im Quellcode ausdrücklich als Vorbehalt vermerkt: nur die RICHTUNG der Asymmetrie ist dadurch begründet, nicht der genaue Zahlenwert — eine eigene Regression gegen echte ICON-Bedeckungsgrade ergab je nach Methode Verhältnisse zwischen ca. 7,6 und 13. Beide Kondensat-Skalen bleiben daher Platzhalter.</w:t></w:r></w:p><w:p><w:pPr><w:pStyle w:val="Heading3"/></w:pPr><w:r><w:t>Stufe 3 im Detail: Sundqvist-Fallback</w:t></w:r></w:p><w:p><w:pPr/><w:r><w:t>Wenn weder Modell-Bedeckungsgrad noch Kondensatgehalt vorliegen, wird eine relative Feuchte relativ zu einer höhen- und phasenabhängigen kritischen Feuchte bewertet:</w:t></w:r></w:p><w:p><w:pPr><w:pStyle w:val="ListBullet"/></w:pPr><w:r><w:t>Effektive relative Feuchte bevorzugt aus der spezifischen Feuchte q berechnet (Dampfdruck aus q und p), bezogen auf einen über die Mischphase geblendeten Sättigungsdampfdruck (Wasser oberhalb 0 °C, Eis unterhalb −35 °C, dazwischen linear) — das macht auch Cirren sichtbar, für die die reine Modell-RH oft unzuverlässig ist. Fehlt q, fällt die Rechnung auf die Modell-RH zurück (die unter 0 °C bereits eis-referenziert ist).</w:t></w:r></w:p><w:p><w:pPr><w:pStyle w:val="ListBullet"/></w:pPr><w:r><w:t>Kritische RH: am Boden 96 %, in der freien Troposphäre 83 % (beide wasser-referenziert), Übergang modellabhängig zwischen 300 m (ICON-D2) und 1200 m (ICON-EU) AGL; im Eisast auf 96,5 % (eis-referenziert) angehoben. Zusätzlich verschiebt Vertikalwind die Schwelle: Aufwind senkt sie (leichter Wolkenbildung), Absinken hebt sie (tanh-Dämpfung, max. ±8 Prozentpunkte).</w:t></w:r></w:p><w:p><w:pPr><w:pStyle w:val="ListBullet"/></w:pPr><w:r><w:t>Wolkenfraktion nach Sundqvist: CF = 1 − √[(100 − RH_eff)/(100 − RH_krit)], 0 unterhalb der kritischen Feuchte.</w:t></w:r></w:p><w:p><w:pPr><w:pStyle w:val="Callout"/></w:pPr><w:r><w:t>Hinweis: Die Sundqvist-Parameter (kritische RH am Boden/in der freien Troposphäre, Übergangshöhen) sind gegen echte ICON-Bedeckungsgrade EINES Kalendermonats (August 2026, mitteleuropäischer Sommer) gefittet — nicht gegen andere Jahreszeiten oder Wetterlagen (Winterinversion, Herbstnebel) geprüft. Der Quellcode markiert das ausdrücklich als regelmäßig zu wiederholende Kalibrierung.</w:t></w:r></w:p><w:p><w:pPr><w:pStyle w:val="Heading2"/></w:pPr><w:r><w:t>6.2 Bedeckungsgrad-Kategorien</w:t></w:r></w:p><w:tbl><w:tblPr><w:tblStyle w:val="LightGrid-Accent1"/><w:tblW w:type="auto" w:w="0"/><w:jc w:val="left"/><w:tblLook w:firstColumn="1" w:firstRow="1" w:lastColumn="0" w:lastRow="0" w:noHBand="0" w:noVBand="1" w:val="04A0"/></w:tblPr><w:tblGrid><w:gridCol w:w="3173"/><w:gridCol w:w="3173"/><w:gridCol w:w="3173"/></w:tblGrid><w:tr><w:tc><w:tcPr><w:tcW w:type="dxa" w:w="1247"/></w:tcPr><w:p><w:r><w:rPr><w:b/><w:sz w:val="19"/></w:rPr><w:t>Kategorie</w:t></w:r></w:p></w:tc><w:tc><w:tcPr><w:tcW w:type="dxa" w:w="1814"/></w:tcPr><w:p><w:r><w:rPr><w:b/><w:sz w:val="19"/></w:rPr><w:t>Wolkenfraktion</w:t></w:r></w:p></w:tc><w:tc><w:tcPr><w:tcW w:type="dxa" w:w="4819"/></w:tcPr><w:p><w:r><w:rPr><w:b/><w:sz w:val="19"/></w:rPr><w:t>Bedeutung</w:t></w:r></w:p></w:tc></w:tr><w:tr><w:tc><w:tcPr><w:tcW w:type="dxa" w:w="1247"/></w:tcPr><w:p><w:r><w:rPr><w:sz w:val="19"/></w:rPr><w:t>FEW</w:t></w:r></w:p></w:tc><w:tc><w:tcPr><w:tcW w:type="dxa" w:w="1814"/></w:tcPr><w:p><w:r><w:rPr><w:sz w:val="19"/></w:rPr><w:t>≥ 0,10</w:t></w:r></w:p></w:tc><w:tc><w:tcPr><w:tcW w:type="dxa" w:w="4819"/></w:tcPr><w:p><w:r><w:rPr><w:sz w:val="19"/></w:rPr><w:t>unterste markante Schicht, für Wolkenbasis-Anzeige</w:t></w:r></w:p></w:tc></w:tr><w:tr><w:tc><w:tcPr><w:tcW w:type="dxa" w:w="1247"/></w:tcPr><w:p><w:r><w:rPr><w:sz w:val="19"/></w:rPr><w:t>SCT</w:t></w:r></w:p></w:tc><w:tc><w:tcPr><w:tcW w:type="dxa" w:w="1814"/></w:tcPr><w:p><w:r><w:rPr><w:sz w:val="19"/></w:rPr><w:t>≥ 0,25</w:t></w:r></w:p></w:tc><w:tc><w:tcPr><w:tcW w:type="dxa" w:w="4819"/></w:tcPr><w:p><w:r><w:rPr><w:sz w:val="19"/></w:rPr><w:t>aufgelockert</w:t></w:r></w:p></w:tc></w:tr><w:tr><w:tc><w:tcPr><w:tcW w:type="dxa" w:w="1247"/></w:tcPr><w:p><w:r><w:rPr><w:sz w:val="19"/></w:rPr><w:t>BKN</w:t></w:r></w:p></w:tc><w:tc><w:tcPr><w:tcW w:type="dxa" w:w="1814"/></w:tcPr><w:p><w:r><w:rPr><w:sz w:val="19"/></w:rPr><w:t>≥ 0,50</w:t></w:r></w:p></w:tc><w:tc><w:tcPr><w:tcW w:type="dxa" w:w="4819"/></w:tcPr><w:p><w:r><w:rPr><w:sz w:val="19"/></w:rPr><w:t>überwiegend bedeckt — zugleich die ICAO-Ceiling-Schwelle</w:t></w:r></w:p></w:tc></w:tr><w:tr><w:tc><w:tcPr><w:tcW w:type="dxa" w:w="1247"/></w:tcPr><w:p><w:r><w:rPr><w:sz w:val="19"/></w:rPr><w:t>OVC</w:t></w:r></w:p></w:tc><w:tc><w:tcPr><w:tcW w:type="dxa" w:w="1814"/></w:tcPr><w:p><w:r><w:rPr><w:sz w:val="19"/></w:rPr><w:t>≥ 0,90</w:t></w:r></w:p></w:tc><w:tc><w:tcPr><w:tcW w:type="dxa" w:w="4819"/></w:tcPr><w:p><w:r><w:rPr><w:sz w:val="19"/></w:rPr><w:t>geschlossen bedeckt</w:t></w:r></w:p></w:tc></w:tr></w:tbl><w:p/><w:p><w:pPr><w:pStyle w:val="Heading2"/></w:pPr><w:r><w:t>6.3 Wolkenbasis und -obergrenze</w:t></w:r></w:p><w:p><w:pPr/><w:r><w:t>Die im Chart gezeigte Wolkenbasis je Stunde ist die unterste Höhe, an der die Wolkenfraktion in einer zusammenhängenden Schicht die FEW-Schwelle von unten erreicht — mit einer Mindesthöhe von 30 m AGL, damit eine bodenberührende Schicht als Nebel (Abschnitt 7), nicht als „Wolkenbasis”, gilt. Die Obergrenze derselben Schicht wird gesucht, indem der zusammenhängende Bereich mit CF ≥ FEW nach oben verfolgt wird; kleine, trockene Zwischenschichten unter 1200 m Mächtigkeit werden dabei überbrückt (eine dünne bodennahe Feuchteschicht soll die eigentlich darüberliegende Wolke nicht künstlich abschneiden), eine echte, größere Lücke beendet die Schicht dagegen.</w:t></w:r></w:p><w:p><w:pPr><w:pStyle w:val="Heading2"/></w:pPr><w:r><w:t>6.4 Zeichentechnik</w:t></w:r></w:p><w:p><w:pPr/><w:r><w:t>Wolken werden nicht als einfache Fläche, sondern nach der grafischen Konvention des klassischen Ogimet-GRAMET als Textur aus vielen kleinen, flachen Ellipsen gezeichnet: jede Ellipse zuerst weiß gefüllt, dann grau umrandet, in zufälliger Reihenfolge übereinander. Weil jede folgende Ellipse die Kontur der vorherigen teilweise übermalt, bleibt im Inneren der Wolke nur vereinzelte graue Fleckigkeit stehen, während am Rand der Wolkenmasse die ausgefranste, handgezeichnete Silhouette erhalten bleibt. Die Ellipsendichte ist an die Wolkenfraktion gekoppelt (durch zwei Oktaven Rauschen leicht gestört, damit keine harten Zellkanten sichtbar werden) — dünne Bewölkung wirkt entsprechend licht und löchrig, dichte Bewölkung praktisch deckend.</w:t></w:r></w:p><w:p><w:r><w:br w:type="page"/></w:r></w:p><w:p><w:pPr><w:pStyle w:val="Heading1"/></w:pPr><w:r><w:t>7. Nebel, Dunst und Diesigkeit (FG / BR / HZ)</w:t></w:r></w:p><w:p><w:pPr/><w:r><w:t>Bodennahe Sichtbehinderung wird als eigenständige, von der allgemeinen Wolkenfraktion unabhängige Diagnose je Stunde klassifiziert — nach METAR-Konvention FG (Nebel), BR (Diesigkeit/Dunst, feucht) oder HZ (Dunst, trocken/Staub). Geprüft wird ausschließlich am untersten Modelllevel (~10 m AGL) — Bodenkontakt ist Voraussetzung, sonst würde erhöhte Feuchte fälschlich als Bodenphänomen dargestellt.</w:t></w:r></w:p><w:p><w:pPr><w:pStyle w:val="Heading2"/></w:pPr><w:r><w:t>7.1 Priorität der Kriterien</w:t></w:r></w:p><w:p><w:pPr/><w:r><w:t>Die Sichtweite (Modellfeld visibility) ist das primäre Kriterium — nicht mehr, wie in einer früheren Fassung, eine reine RH-Schwelle ohne Sichtbezug. Die Priorität je Stunde, von stärkstem zu schwächstem Signal:</w:t></w:r></w:p><w:p><w:pPr><w:pStyle w:val="ListNumber"/></w:pPr><w:r><w:t>Direkter Kondensatnachweis am Boden (qw+qi über einer kleinen Schwelle) → FG, mit einer aus dem Höhenprofil abgeleiteten echten Obergrenze — das stärkste physikalische Signal, geht der Sichtdiagnose bewusst vor.</w:t></w:r></w:p><w:p><w:pPr><w:pStyle w:val="ListNumber"/></w:pPr><w:r><w:t>Bodennahe Wolkenfraktion ≥ BKN-Schwelle → FG, ebenfalls mit Obergrenze.</w:t></w:r></w:p><w:p><w:pPr><w:pStyle w:val="ListNumber"/></w:pPr><w:r><w:t>Sonst, wenn eine Sichtweite vorliegt: &lt; 1000 m → FG (ohne Obergrenze, Sicht ist ein Flächenwert, kein Höhenprofil); 1000–5000 m → BR (RH ≥ 80 %) oder HZ (RH &lt; 80 %); über 5000 m kein Befund — dies gilt auch gegen einen widersprüchlichen Wettercode oder eine hohe RH: die Sichtweite ist hier die Wahrheit.</w:t></w:r></w:p><w:p><w:pPr><w:pStyle w:val="ListNumber"/></w:pPr><w:r><w:t>Nur wenn gar keine Sichtweite vorliegt (Modelle ohne Sichtfeld, z. B. ICON Global): Wettercode 45/48 → FG; sonst wird die Sicht aus Temperatur und relativer Feuchte am untersten Modelllevel geschätzt (empirische Formel nach Doran et al. 1999: Sicht [mi] = 6000 · (T − Td) / RH^1,75, mit T und Td in °C und RH in %). Liegt die Schätzung bei höchstens 5000 m → BR, als unsicher markiert. Die Schätzung erzeugt nie HZ (trockener Dunst ist ein Aerosolphänomen und aus der Feuchte nicht ableitbar) und nie FG (sie ist nach unten auf 1000 m begrenzt; FG kommt weiterhin nur aus Kondensat, Bedeckungsgrad oder Wettercode).</w:t></w:r></w:p><w:p><w:pPr/><w:r><w:t xml:space="preserve">Hintergrund: Eine frühere Fassung verwendete hier reine RH-Schwellen (≥ 90 % → BR, ≥ 60 % → HZ). Mit ICON Global, das kein Sichtfeld liefert, erzeugte das nahezu jede Nacht HZ/BR – auch bei 5–6 K Spread, wo ICON-D2 mit echter Sichtdiagnose durchgehend über 10 km zeigte. Die Sichtschätzung erreicht 5000 m dagegen erst ab etwa 1,5 K Spread bzw. rund 90 % RH (Beispiele: 14/7 °C → ca. 48 km, 9/7 °C → ca. 7,7 km, 8/7 °C → ca. 3,4 km). Die Schwelle ist wie die übrigen Sicht-/RH-Schwellen nicht gegen Beobachtungen kalibriert.</w:t></w:r></w:p><w:p><w:pPr/><w:r><w:t>Unterkühlter Nebel (Boden-Temperatur ≤ 0 °C) wird zusätzlich markiert — relevant, weil er auf Oberflächen (z. B. Rotorblättern) aufgefrieren kann. Im Chart erscheint unterkühlter Nebel (METAR FZFG) zusätzlich als rotes WMO-Symbol (drei Nebellinien mit Reifzeichen) in der Mitte des Nebelschleiers — ein Symbol je zusammenhängendem Zeitraum, bei unsicherer Diagnose abgeschwächt, ohne eigenen Schalter. Maßgeblich ist dasselbe METAR-Kürzel wie in der Wetter-Zeile (Abschnitt 12), nicht der rohe Wettercode 48.</w:t></w:r></w:p><w:p><w:pPr><w:pStyle w:val="Heading2"/></w:pPr><w:r><w:t>7.2 Darstellung</w:t></w:r></w:p><w:p><w:pPr/><w:r><w:t>FG/BR/HZ werden als bodennaher, halbtransparenter Schleier über die unteren rund 400 m gezeichnet, mit eigener Farbfamilie je Typ: FG neutral dichtes Grau (hohe Deckkraft, „man sieht buchstäblich nichts mehr”), BR kühles Blaugrau (feuchte Diesigkeit), HZ ockerfarben (trockener Staubdunst). Die Stärke des Schleiers bei BR/HZ skaliert mit der Position innerhalb des Sichtweitenbands zwischen 1000 m und 5000 m; bei Modellen ohne Sichtfeld wird dafür die geschätzte Sicht verwendet.</w:t></w:r></w:p><w:p><w:r><w:br w:type="page"/></w:r></w:p><w:p><w:pPr><w:pStyle w:val="Heading1"/></w:pPr><w:r><w:t>8. Niederschlag</w:t></w:r></w:p><w:p><w:pPr><w:pStyle w:val="Heading2"/></w:pPr><w:r><w:t>8.1 Auslösekriterien</w:t></w:r></w:p><w:p><w:pPr/><w:r><w:t>Ob und als was ein Niederschlagsvorhang je Stunde gezeichnet wird, entscheidet primär der METAR-artige Wettercode des Modells (dieselbe Übersetzungstabelle wie die Wetter-Zeile, Abschnitt 12) — die Menge (mm/h) bestimmt danach nur noch, wie dicht die Symbole stehen. Diese Reihenfolge wurde bewusst so gewählt: verließe man sich allein auf die Menge (Schwelle 0,1 mm/h in einer früheren Fassung), rundete sehr leichter Niederschlag oft auf nahe null, obwohl der Wettercode ihn noch meldete — Wetter-Zeile und gezeichneter Vorhang liefen dann auseinander. Aktuelle Mindestrate für die Dichteskalierung: 0,2 mm/h; Nebel-/Dunst-Meldungen (FG/BR/HZ) zählen ausdrücklich NICHT als Niederschlag.</w:t></w:r></w:p><w:p><w:pPr><w:pStyle w:val="Heading2"/></w:pPr><w:r><w:t>8.2 Phase: Regen oder Schnee</w:t></w:r></w:p><w:p><w:pPr/><w:r><w:t>Die Phase am Boden bestimmt der Wettercode, den Übergang darüber die Schneefallgrenze. Die Schneefallgrenze ist die Höhe der 0-°C-Feuchttemperatur (Tw): fallender Schnee kühlt seine Umgebung durch Schmelzen und Verdunsten, maßgeblich ist daher Tw statt T. Tw wird je Modelllevel aus T, relativer Feuchte und Druck als Nullstelle der Psychrometergleichung e_s(Tw) − e − γ·p·(T − Tw) = 0 bestimmt (γ = c_p/(ε·L_v) ≈ 6,46·10⁻⁴ K⁻¹, e_s nach Magnus mit denselben Koeffizienten wie die Wolkendiagnostik); gesucht wird der erste Durchgang von Tw ≥ 0 nach Tw < 0 von unten. Die Tw-Nullgradgrenze liegt stets unter der 0-°C-Isotherme, bei trockener Luft deutlich. Regeln: Meldet der Wettercode Schnee (SN/SG ohne RA), werden Flocken bis zum Boden gezeichnet, auch wenn T dort knapp über 0 °C liegt. Bei Schneeregen (RASN) Flocken bis zur Schneefallgrenze, darunter Flocken und Tropfen abwechselnd. Bei Regen/Sprühregen (auch FZ, SH, TS) Flocken oberhalb, Tropfen unterhalb der Schneefallgrenze; liegt diese im Widerspruch zum Code nicht über dem Boden, gilt die 0-°C-Isotherme. Ohne Wettercode (nur Niederschlagsmenge) gilt die Schneefallgrenze, ersatzweise die 0-°C-Isotherme. Nur wenn keine der Grenzen bestimmbar ist, entscheidet der Wettercode bzw. das Modellfeld „snowfall” über den GESAMTEN Vorhang. Hinweis: In der Realität reicht Schnee oft noch etwas unter die Tw-Nullgradgrenze (Schmelzschicht); die Darstellung ist hier bewusst einfach gehalten.</w:t></w:r></w:p><w:p><w:pPr><w:pStyle w:val="Heading2"/></w:pPr><w:r><w:t>8.3 Obergrenze des Vorhangs</w:t></w:r></w:p><w:p><w:pPr/><w:r><w:t>Der Vorhang reicht von der Wolkenobergrenze der zusammenhängenden Schicht (Abschnitt 6.3) bis zum Boden. Findet sich keine Wolke im üblichen Sinn (Niederschlag laut Code/Menge gemeldet, aber keine erkannte Schicht — etwa am Rand langer Vorhersagezeiträume), greift ein Ersatzwert von 2000 m (flacher Nieselregen-Annahme), NICHT der volle Modelldeckel — eine frühere Fassung ließ Vorhänge bis in die Stratosphäre reichen. Bei Schauern/Gewittern (SH/TS im Wettercode) wird die Obergrenze zusätzlich mit dem an die Konvektionsdiagnose gekoppelten Wolkenoberrand (Abschnitt 9) verglichen und ggf. angehoben — nie abgesenkt —, damit ein Schauer nicht an einer niedrigeren, unzusammenhängenden Fremdschicht hängen bleibt.</w:t></w:r></w:p><w:p><w:pPr><w:pStyle w:val="Heading2"/></w:pPr><w:r><w:t>8.4 Darstellungstechnik</w:t></w:r></w:p><w:p><w:pPr/><w:r><w:t>Regentropfen (geneigte Striche) bzw. Schneeflocken (dreistrahliger Stern) werden mit einem deterministischen, orts-/zeitgebundenen Zufallsmuster über die Vorhangfläche verteilt. Der Symbolabstand (11–30 px) skaliert mit der Niederschlagsrate über eine tanh-Kennlinie, sodass sich auch kräftiger Niederschlag noch sichtbar abstuft. Da „precipitation” beim Modell die Summe der VORANGEHENDEN Stunde ist, wird der Vorhang um eine halbe Stundenspalte nach links verschoben — er steht damit auf der Mitte seines tatsächlichen Bezugszeitraums statt an dessen Ende.</w:t></w:r></w:p><w:p><w:pPr/><w:r><w:t>Gefrierender Regen (Wettercode 66/67, METAR -FZRA/FZRA) und gefrierender Sprühregen (56/57, -FZDZ/FZDZ) werden zusätzlich durch ein rotes WMO-Symbol (liegendes S mit einem Punkt bzw. Komma bei leicht, zwei bei mäßig/stark) im unteren Teil des Vorhangs knapp über dem Boden markiert — der Wettercode ist ein Bodenwert. Ein Symbol je zusammenhängendem Zeitraum, die stärkste Stunde bestimmt die Intensität. Das Symbol erscheint, solange der Niederschlag eingeblendet ist; einen eigenen Schalter gibt es nicht. Schneeregen kann nicht dargestellt werden: das ICON-ww kennt keine Codes für Regen und Schnee gemischt (ICON Database Reference, Tab. 6.1).</w:t></w:r></w:p><w:p><w:r><w:br w:type="page"/></w:r></w:p><w:p><w:pPr><w:pStyle w:val="Heading1"/></w:pPr><w:r><w:t>9. Konvektion: Towering Cumulus und Cumulonimbus</w:t></w:r></w:p><w:p><w:pPr/><w:r><w:t>Die Konvektionsdiagnose ist der physikalisch aufwendigste Teil des GRAMET: eine vollständige Parcel-Theorie-Rechnung (Luftpaket-Aufstieg) je Stunde, aus der sowohl OB als auch WIE HOCH und ALS WELCHER TYP eine Konvektionssäule (Schaft mit ggf. TCU- oder Cb-Symbol) gezeichnet wird.</w:t></w:r></w:p><w:p><w:pPr><w:pStyle w:val="Heading2"/></w:pPr><w:r><w:t>9.1 Warum CCL statt LCL</w:t></w:r></w:p><w:p><w:pPr/><w:r><w:t>Klassische Sondierungsanalysen arbeiten häufig mit dem LCL (Kondensationsniveau eines gehobenen Bodenpakets). Das GRAMET zeigt aber TAGSÜBER AUSGELÖSTE Konvektion — dafür sind CCL (Konvektionskondensations-niveau) und die zugehörige Auslösetemperatur die passenderen Größen:</w:t></w:r></w:p><w:p><w:pPr><w:pStyle w:val="ListBullet"/></w:pPr><w:r><w:t>CCL: Schnittpunkt der Mixed-Layer-Isohume (druckgewichtetes Mittel des Mischungsverhältnisses der untersten 100 hPa) mit dem Umgebungs-Temperaturprofil — die physikalische Basis der Quellwolke.</w:t></w:r></w:p><w:p><w:pPr><w:pStyle w:val="ListBullet"/></w:pPr><w:r><w:t>TA (Auslösetemperatur): die CCL-Temperatur trockenadiabatisch auf Bodendruck zurückgeführt. Erst wenn die 2-m-Temperatur diese Schwelle erreicht, „reißt die Kappe auf” und Konvektion setzt ein.</w:t></w:r></w:p><w:p><w:pPr><w:pStyle w:val="ListBullet"/></w:pPr><w:r><w:t>EL (Gleichgewichtsniveau): ab CCL feuchtadiabatisch aufwärts integriert, bis der Auftrieb (virtuell korrigiert) endgültig negativ bleibt — die Obergrenze des Aufstiegs.</w:t></w:r></w:p><w:p><w:pPr/><w:r><w:t>Der reine 2-m-Taupunkt allein wäre als Ausgangspunkt zu stoßempfindlich: reichert sich die bodennächste Luftschicht stärker an als die Schicht knapp darüber (z. B. nächtliche Taubildung), zöge das die CCL künstlich weit nach unten. Die Mixed-Layer-Mittelung über 100 hPa glättet dieses Rauschen.</w:t></w:r></w:p><w:p><w:pPr><w:pStyle w:val="Heading2"/></w:pPr><w:r><w:t>9.2 Thermodynamik der Parcel-Rechnung</w:t></w:r></w:p><w:p><w:pPr/><w:r><w:t>Verwendet werden Standardformulierungen: Magnus-Formel für den Sättigungsdampfdruck über Wasser bzw. Eis (linear geblendet zwischen 0 °C und −40 °C für die Mischphase), eine Runge-Kutta-4-Integration entlang der Pseudoadiabate in 5-hPa-Schritten, sowie eine mit der virtuellen Temperatur korrigierte Auftriebsformel (Doswell &amp; Rasmussen 1994) — letzteres berücksichtigt, dass feuchte Luft bei gleicher Temperatur leichter ist als trockene.</w:t></w:r></w:p><w:p><w:pPr><w:pStyle w:val="Formula"/></w:pPr><w:r><w:t>Auftriebsbeschleunigung:  B = g · (T_v,Paket − T_v,Umgebung) / T_v,Umgebung</w:t><w:br/><w:t>T_v = T · (1 + 0,608 · r),  r = Mischungsverhältnis</w:t></w:r></w:p><w:p><w:pPr/><w:r><w:t>Die CAPE-/EL-Integration durchsucht bewusst das GESAMTE Profil, statt beim ersten Vorzeichenwechsel des Auftriebs abzubrechen: eine kurze, dünne Stabilitätsschicht direkt über dem CCL (Interpolationsrauschen oder eine echte, aber dünne Kappe) darf den Aufstieg nicht vorzeitig beenden, wenn der Parcel weiter oben wieder — und stärker — aufsteigt. Das EL wird beim tatsächlichen letzten Vorzeichenwechsel linear auf den exakten Nulldurchgang interpoliert, nicht auf das Ende des 5-hPa-Schritts gerundet.</w:t></w:r></w:p><w:p><w:pPr><w:pStyle w:val="Heading2"/></w:pPr><w:r><w:t>9.3 Entrainment: warum die Wolke nicht bis zum undiluted EL reicht</w:t></w:r></w:p><w:p><w:pPr/><w:r><w:t>Das so berechnete EL beschreibt einen „undiluted” Parcel — ein Luftpaket, das beim Aufstieg keine Umgebungsluft einmischt. Reale Cumulus-Aufwinde mischen jedoch laufend (kühlere, trockenere) Umgebungsluft ein, verlieren dadurch Auftrieb und erreichen einen niedrigeren Oberrand als das undiluted EL. Ohne diese Korrektur würde die Konvektionssäule beim Auslösen sofort auf den vollen undiluted EL springen, statt sich — wie eine reale Quellwolke von Cumulus humilis über mediocris zu congestus — erst mit wachsender Instabilität im Tagesverlauf tiefer zu entwickeln.</w:t></w:r></w:p><w:p><w:pPr/><w:r><w:t>Umgesetzt nach Gregory (2001, Q. J. R. Meteorol. Soc. 127, 53–72): die Entrainmentrate ε wird nicht von außen geschätzt, sondern ergibt sich selbstkonsistent aus dem Auftrieb B und der kinetischen Aufwind-Energie w² des Parcels selbst:</w:t></w:r></w:p><w:p><w:pPr><w:pStyle w:val="Formula"/></w:pPr><w:r><w:t>ε = C · B / w²   (gekappt auf [0; 4·10⁻³ m⁻¹])</w:t><w:br/><w:t>d(w²)/dz = 2a·B − 2ε·w²</w:t><w:br/><w:t>dh/dz = ε · (h_Umgebung − h_Paket)     [h = „moist static energy”]</w:t></w:r></w:p><w:p><w:pPr/><w:r><w:t>Anschaulich: früh im Tagesverlauf, wenn Auftrieb und Aufwind-KE beide klein sind, ist ε groß — die Wolke wird rasch verdünnt (Cu humilis). Mit wachsendem B/w² im Tagesverlauf sinkt ε, die Wolke kann tiefer aufsteigen (Übergang zu TCU/Cb) — genau der beobachtete flach-zu-tief-Übergang der Konvektion.</w:t></w:r></w:p><w:p><w:pPr/><w:r><w:t>Die Koeffizienten C = 0,60 und a = 0,15 sowie die Kappungsgrenzen und die Dämpfungslängenskala (10 000 m) der w²-Fortschreibung stammen NICHT aus einer abgelesenen Abbildung, sondern aus einer dokumentierten, operationellen Implementierung dieses Schemas im Chikira-Sugiyama-Cumulusschema (Chikira &amp; Sugiyama 2010, J. Atmos. Sci. 67, 2171–2193; NOAA/NCAR Common Community Physics Package, cs_conv.F90). Del Genio &amp; Wu (2010, J. Climate 23, 2722–2738) bestätigen dieses Entrainment-Schema anhand wolkenauflösender Simulationen als die unter mehreren getesteten Parametrisierungen beste Abbildung des flach-zu-tief-Übergangs KONTINENTALER Konvektion — die für mitteleuropäische Tageskonvektion einschlägige Referenz (im Unterschied zu ozeanisch-tropischer Konvektion).</w:t></w:r></w:p><w:p><w:pPr/><w:r><w:t>Der Aufstieg endet nicht am Gitterdeckel, sondern sobald die Aufwind-KE (w²) unter eine Mindestschwelle fällt — ein entrainment-geschwächter Aufwind „beult” real schon vorher aus. Das erlaubt gleichzeitig, dass eine dünne Kappe durchstoßen wird, wenn die bis dahin aufgebaute Aufwind-KE dafür ausreicht: dieselbe Bilanzgleichung entscheidet beide Fälle, kein zusätzliches heuristisches Abbruchkriterium.</w:t></w:r></w:p><w:p><w:pPr><w:pStyle w:val="Callout"/></w:pPr><w:r><w:t>Hinweis: Das entrainment-gedämpfte EL (elZDiluted), nicht das undiluted EL, ist die für Zeichnung und Symbolik verwendete Größe (s. u.) — es gilt als die realistischere Abschätzung der tatsächlich erreichten Wolkenhöhe.</w:t></w:r></w:p><w:p><w:pPr><w:pStyle w:val="Heading2"/></w:pPr><w:r><w:t>9.4 Entscheidung: entsteht überhaupt eine Konvektionssäule?</w:t></w:r></w:p><w:p><w:pPr/><w:r><w:t>Drei unabhängige Signale können eine Säule auslösen — sie ergänzen sich, weil keines allein robust genug ist:</w:t></w:r></w:p><w:p><w:pPr><w:pStyle w:val="ListNumber"/></w:pPr><w:r><w:t>Wettercode meldet Gewitter (TS) oder Schauer (SH/+SH): das verlässlichste Signal, da es die eigene konvektive Diagnose des Modells widerspiegelt — unabhängig davon, ob die eigene Parcel-Rechnung auslöst.</w:t></w:r></w:p><w:p><w:pPr><w:pStyle w:val="ListNumber"/></w:pPr><w:r><w:t>Thermische Auslösung: 2-m-Temperatur erreicht die Auslösetemperatur TA (mit +1 K Zuschlag, s. u.) UND die Mächtigkeit EL−CCL erreicht mindestens 1500 m (ein flaches Cumulusfeld ist noch keine TCU).</w:t></w:r></w:p><w:p><w:pPr><w:pStyle w:val="ListNumber"/></w:pPr><w:r><w:t>Auffangpfad (nur wenn 1. und 2. nichts liefern, z. B. weil sich kein CCL bestimmen lässt): CAPE ≥ 300 J/kg oder maximaler Vertikalwind-Betrag ≥ 3 m/s unterhalb der Tropopause, jeweils mit unabhängiger Bestätigung durch eine tatsächlich vorhandene, vergletscherte Wolkenspur im Profil. Diese Schwellen sind NICHT kalibriert.</w:t></w:r></w:p><w:p><w:pPr/><w:r><w:t>Der +1-K-Zuschlag beim Vergleich 2-m-Temperatur gegen TA gleicht systematische Effekte aus: T_2m ist ein Gitterzellen-Mittel, während Konvektion aus den wärmsten Thermikblasen startet (überadiabatische Bodenschicht, besonnte Hänge, subskalige Heterogenität lassen diese 0,5–2 K wärmer aufsteigen als das Zellmittel); außerdem erbt TA selbst einen Teil des 2-m-Taupunktfehlers. Ein striktes „T_2m ≥ TA” löst deshalb systematisch zu spät aus. Auch dieser Zuschlag ist NICHT kalibriert.</w:t></w:r></w:p><w:p><w:pPr><w:pStyle w:val="Heading2"/></w:pPr><w:r><w:t>9.5 Obergrenze, Towering-Hürde und Cb/TCU-Unterscheidung</w:t></w:r></w:p><w:p><w:pPr/><w:r><w:t>Ist eine Säule ausgelöst, bestimmt sich ihre Obergrenze primär aus dem entrainment-gedämpften EL (Abschnitt 9.3). Löst der Bodentrigger NICHT aus, meldet das Modell aber dennoch Schauer/Gewitter (elevated bzw. frontal erzwungene Konvektion — ein Regime, für das die CCL-Parcel-Rechnung nicht ausgelegt ist), wird stattdessen der modelleigene, tatsächlich diagnostizierte Wolkenoberrand verwendet: das entrainment-gedämpfte EL würde in diesem Fall auf wenige hundert Meter über dem CCL kollabieren, obwohl das Modell selbst eine deutlich höher reichende Wolkenschicht rechnet.</w:t></w:r></w:p><w:p><w:pPr/><w:r><w:t>Ob überhaupt ein Symbol (TCU oder Cb) gezeichnet wird — unabhängig von der reinen Existenz des Schafts —, entscheidet ausschließlich die Parcel-Rechnung, NIE der Wettercode allein:</w:t></w:r></w:p><w:p><w:pPr><w:pStyle w:val="ListBullet"/></w:pPr><w:r><w:t>„Towering”-Hürde: der Oberrand muss die Nullgradgrenze um mindestens 1524 m (5000 ft) überragen. Wird das nicht erreicht, gibt es KEIN Symbol — laut Parcel-Rechnung handelt es sich um einen gewöhnlichen, unkritischen Cumulus. Ein vom Wettercode erzwungener Schaft (TS/SH) bleibt zwar stehen, aber ohne Symbol.</w:t></w:r></w:p><w:p><w:pPr><w:pStyle w:val="ListBullet"/></w:pPr><w:r><w:t>Oberhalb der Towering-Hürde: Cb (mit Amboss) nur, wenn der Oberrand vergletschert ist (Temperatur ≤ −20 °C) UND nah genug an der Tropopause liegt (innerhalb 1200 m) — nur dort kann sich physikalisch ein Amboss ausbreiten. Sonst TCU. Ein reiner Schauer-Wettercode (+SH) zählt bewusst NICHT als Cb-Signal, da Schauerintensität allein keinen vergletscherten Oberrand belegt.</w:t></w:r></w:p><w:p><w:pPr><w:pStyle w:val="Callout"/></w:pPr><w:r><w:t>Hinweis: Diese Schwellenwerte (5000 ft über Nullgradgrenze, −20 °C, 1200 m Tropopausenabstand, 1500 m Mindestmächtigkeit) sind explizit als Vorgaben, NICHT als kalibrierte Werte gekennzeichnet.</w:t></w:r></w:p><w:p><w:pPr><w:pStyle w:val="Heading2"/></w:pPr><w:r><w:t>9.6 Symbolik und Darstellung</w:t></w:r></w:p><w:p><w:pPr/><w:r><w:t>Als Symbol dienen die international genormten Wolkensymbole der Bodeneintragungssystematik (WMO-Schlüssel C_L), die jeder Meteorologe von der Bodenwetterkarte kennt:</w:t></w:r></w:p><w:tbl><w:tblPr><w:tblStyle w:val="LightGrid-Accent1"/><w:tblW w:type="auto" w:w="0"/><w:jc w:val="left"/><w:tblLook w:firstColumn="1" w:firstRow="1" w:lastColumn="0" w:lastRow="0" w:noHBand="0" w:noVBand="1" w:val="04A0"/></w:tblPr><w:tblGrid><w:gridCol w:w="3173"/><w:gridCol w:w="3173"/><w:gridCol w:w="3173"/></w:tblGrid><w:tr><w:tc><w:tcPr><w:tcW w:type="dxa" w:w="1984"/></w:tcPr><w:p><w:r><w:rPr><w:b/><w:sz w:val="19"/></w:rPr><w:t>Klassifikation</w:t></w:r></w:p></w:tc><w:tc><w:tcPr><w:tcW w:type="dxa" w:w="1417"/></w:tcPr><w:p><w:r><w:rPr><w:b/><w:sz w:val="19"/></w:rPr><w:t>Symbol</w:t></w:r></w:p></w:tc><w:tc><w:tcPr><w:tcW w:type="dxa" w:w="4535"/></w:tcPr><w:p><w:r><w:rPr><w:b/><w:sz w:val="19"/></w:rPr><w:t>Bedeutung</w:t></w:r></w:p></w:tc></w:tr><w:tr><w:tc><w:tcPr><w:tcW w:type="dxa" w:w="1984"/></w:tcPr><w:p><w:r><w:rPr><w:sz w:val="19"/></w:rPr><w:t>kind = "cb"</w:t></w:r></w:p></w:tc><w:tc><w:tcPr><w:tcW w:type="dxa" w:w="1417"/></w:tcPr><w:p><w:r><w:rPr><w:sz w:val="19"/></w:rPr><w:t>C_L 9</w:t></w:r></w:p></w:tc><w:tc><w:tcPr><w:tcW w:type="dxa" w:w="4535"/></w:tcPr><w:p><w:r><w:rPr><w:sz w:val="19"/></w:rPr><w:t>Cumulonimbus capillatus (mit Amboss)</w:t></w:r></w:p></w:tc></w:tr><w:tr><w:tc><w:tcPr><w:tcW w:type="dxa" w:w="1984"/></w:tcPr><w:p><w:r><w:rPr><w:sz w:val="19"/></w:rPr><w:t>kind = "tcu"</w:t></w:r></w:p></w:tc><w:tc><w:tcPr><w:tcW w:type="dxa" w:w="1417"/></w:tcPr><w:p><w:r><w:rPr><w:sz w:val="19"/></w:rPr><w:t>C_L 3</w:t></w:r></w:p></w:tc><w:tc><w:tcPr><w:tcW w:type="dxa" w:w="4535"/></w:tcPr><w:p><w:r><w:rPr><w:sz w:val="19"/></w:rPr><w:t>Cumulonimbus calvus</w:t></w:r></w:p></w:tc></w:tr><w:tr><w:tc><w:tcPr><w:tcW w:type="dxa" w:w="1984"/></w:tcPr><w:p><w:r><w:rPr><w:sz w:val="19"/></w:rPr><w:t>kind = "none"</w:t></w:r></w:p></w:tc><w:tc><w:tcPr><w:tcW w:type="dxa" w:w="1417"/></w:tcPr><w:p><w:r><w:rPr><w:sz w:val="19"/></w:rPr><w:t>—</w:t></w:r></w:p></w:tc><w:tc><w:tcPr><w:tcW w:type="dxa" w:w="4535"/></w:tcPr><w:p><w:r><w:rPr><w:sz w:val="19"/></w:rPr><w:t>nur Schaft, kein Symbol (Towering-Hürde nicht erreicht)</w:t></w:r></w:p></w:tc></w:tr></w:tbl><w:p/><w:p><w:pPr/><w:r><w:t>Für kind = "tcu" wird bewusst C_L 3 statt des streng genommen zutreffenderen C_L 2 (Cumulus congestus) verwendet — eine bereits ausgelöste, mächtige Zelle ohne vergletscherten Oberrand entspricht nach dieser Einordnung eher der calvus-Stufe.</w:t></w:r></w:p><w:p><w:pPr/><w:r><w:t>Eine konvektive Wetterlage wird NICHT als durchgehender Block über den ganzen labilen Zeitraum gezeichnet, sondern als Folge einzelner Zellen mit realistischen Lücken dazwischen — fachlich korrekt, da eine einzelne Gewitterzelle nur 30–60 Minuten lebt, während das Modell über Stunden hinweg günstige Bedingungen zeigt. Ein deterministischer, orts- und zeitgebundener Rhythmus verteilt die Zellen (Abstand 2,2–3,4 Stundenbreiten, Zellbreite 0,5–0,75 Stundenbreiten) über die tatsächlich konvektive Zeitspanne.</w:t></w:r></w:p><w:p><w:pPr><w:pStyle w:val="Callout"/></w:pPr><w:r><w:t>Hinweis: Wichtig für die Interpretation: die ANZAHL der gezeichneten Türme ist NICHT die Anzahl konvektiver Stunden, und eine Lücke zwischen zwei Türmen bedeutet NICHT, dass dort keine Konvektion stattfindet. Die stundenscharfe Aussage steht in der Wetter-Zeile (Abschnitt 12) und im Niederschlagsvorhang (Abschnitt 8); der Schaft zeigt nur Charakter und Zeitraum der Konvektion.</w:t></w:r></w:p><w:p><w:pPr/><w:r><w:t>Zeichnerisch erhält jede Zelle eine harte, waagerechte Basis (Kondensationsniveau ist eine Fläche, keine Zufallsgrenze), eine „Blumenkohlkuppe” aus mehreren überlappenden Domkuppeln als Oberkante, und weiche, angeraute Seitenflächen. Ein Amboss (nur bei kind = "cb") wird als eigener, nachgelagerter Zeichendurchgang über die Schichtwolken gelegt — er sitzt definitionsgemäß im Cirrus-Stockwerk und würde sonst von der weißen Wolkenschraffur wieder zugedeckt. Ambosse benachbarter Zellen dürfen zu einem durchgehenden Schirm verschmelzen, wie an einem realen Gewittertag.</w:t></w:r></w:p><w:p><w:r><w:br w:type="page"/></w:r></w:p><w:p><w:pPr><w:pStyle w:val="Heading1"/></w:pPr><w:r><w:t>10. Vereisung (Icing Potential Index)</w:t></w:r></w:p><w:p><w:pPr/><w:r><w:t>Die Vereisungsdiagnose kombiniert einen Temperaturfenster-Faktor mit der ohnehin berechneten Wolkenfraktion zu einem Icing-Potential-Index (IPI, 0…1) je Gitterzelle:</w:t></w:r></w:p><w:p><w:pPr><w:pStyle w:val="Formula"/></w:pPr><w:r><w:t>IPI = f_T(T) · cloudFrac</w:t></w:r></w:p><w:p><w:pPr/><w:r><w:t>f_T folgt einem weichen Trapez statt einer harten Box: Onset zwischen 0 °C und −2 °C (Klareis ist knapp unter 0 °C am gefährlichsten — große Tropfen, hoher Flüssigwassergehalt), volles Kernfenster zwischen −2 °C und −15 °C (maximale Häufigkeit unterkühlten Flüssigwassers), Abklingen bis −20 °C (zunehmende Vergletscherung). Die Wolkenfraktion selbst wird NICHT neu geschätzt, sondern von der bereits kalibrierten Kaskade aus Abschnitt 6 übernommen — es gibt keine zweite, unabhängige Feuchte-Heuristik nur für Vereisung.</w:t></w:r></w:p><w:tbl><w:tblPr><w:tblStyle w:val="LightGrid-Accent1"/><w:tblW w:type="auto" w:w="0"/><w:jc w:val="left"/><w:tblLook w:firstColumn="1" w:firstRow="1" w:lastColumn="0" w:lastRow="0" w:noHBand="0" w:noVBand="1" w:val="04A0"/></w:tblPr><w:tblGrid><w:gridCol w:w="3173"/><w:gridCol w:w="3173"/><w:gridCol w:w="3173"/></w:tblGrid><w:tr><w:tc><w:tcPr><w:tcW w:type="dxa" w:w="1701"/></w:tcPr><w:p><w:r><w:rPr><w:b/><w:sz w:val="19"/></w:rPr><w:t>Kategorie</w:t></w:r></w:p></w:tc><w:tc><w:tcPr><w:tcW w:type="dxa" w:w="1701"/></w:tcPr><w:p><w:r><w:rPr><w:b/><w:sz w:val="19"/></w:rPr><w:t>IPI-Schwelle</w:t></w:r></w:p></w:tc><w:tc><w:tcPr><w:tcW w:type="dxa" w:w="4535"/></w:tcPr><w:p><w:r><w:rPr><w:b/><w:sz w:val="19"/></w:rPr><w:t>Darstellung</w:t></w:r></w:p></w:tc></w:tr><w:tr><w:tc><w:tcPr><w:tcW w:type="dxa" w:w="1701"/></w:tcPr><w:p><w:r><w:rPr><w:sz w:val="19"/></w:rPr><w:t>none</w:t></w:r></w:p></w:tc><w:tc><w:tcPr><w:tcW w:type="dxa" w:w="1701"/></w:tcPr><w:p><w:r><w:rPr><w:sz w:val="19"/></w:rPr><w:t>&lt; 0,15</w:t></w:r></w:p></w:tc><w:tc><w:tcPr><w:tcW w:type="dxa" w:w="4535"/></w:tcPr><w:p><w:r><w:rPr><w:sz w:val="19"/></w:rPr><w:t>keine Fläche</w:t></w:r></w:p></w:tc></w:tr><w:tr><w:tc><w:tcPr><w:tcW w:type="dxa" w:w="1701"/></w:tcPr><w:p><w:r><w:rPr><w:sz w:val="19"/></w:rPr><w:t>light</w:t></w:r></w:p></w:tc><w:tc><w:tcPr><w:tcW w:type="dxa" w:w="1701"/></w:tcPr><w:p><w:r><w:rPr><w:sz w:val="19"/></w:rPr><w:t>0,15 – 0,30</w:t></w:r></w:p></w:tc><w:tc><w:tcPr><w:tcW w:type="dxa" w:w="4535"/></w:tcPr><w:p><w:r><w:rPr><w:sz w:val="19"/></w:rPr><w:t>grüne Konturfläche</w:t></w:r></w:p></w:tc></w:tr><w:tr><w:tc><w:tcPr><w:tcW w:type="dxa" w:w="1701"/></w:tcPr><w:p><w:r><w:rPr><w:sz w:val="19"/></w:rPr><w:t>moderate</w:t></w:r></w:p></w:tc><w:tc><w:tcPr><w:tcW w:type="dxa" w:w="1701"/></w:tcPr><w:p><w:r><w:rPr><w:sz w:val="19"/></w:rPr><w:t>0,30 – 0,45</w:t></w:r></w:p></w:tc><w:tc><w:tcPr><w:tcW w:type="dxa" w:w="4535"/></w:tcPr><w:p><w:r><w:rPr><w:sz w:val="19"/></w:rPr><w:t>dunkleres Grün</w:t></w:r></w:p></w:tc></w:tr><w:tr><w:tc><w:tcPr><w:tcW w:type="dxa" w:w="1701"/></w:tcPr><w:p><w:r><w:rPr><w:sz w:val="19"/></w:rPr><w:t>severe</w:t></w:r></w:p></w:tc><w:tc><w:tcPr><w:tcW w:type="dxa" w:w="1701"/></w:tcPr><w:p><w:r><w:rPr><w:sz w:val="19"/></w:rPr><w:t>≥ 0,45</w:t></w:r></w:p></w:tc><w:tc><w:tcPr><w:tcW w:type="dxa" w:w="4535"/></w:tcPr><w:p><w:r><w:rPr><w:sz w:val="19"/></w:rPr><w:t>kräftigstes Grün, zusätzlich Warnsymbol (rot)</w:t></w:r></w:p></w:tc></w:tr></w:tbl><w:p/><w:p><w:pPr><w:pStyle w:val="Callout"/></w:pPr><w:r><w:t>Hinweis: Die IPI-Schwellenwerte (0,15 / 0,30 / 0,45) sind wie das Temperaturfenster (0/−2/−15/−20 °C) NICHT kalibriert — Platzhalter, die derselben Konvention wie die Turbulenzkategorien folgen.</w:t></w:r></w:p><w:p><w:pPr/><w:r><w:t>Dieselbe IPI-Funktion und dieselben Kategoriegrenzen werden auch für die Go/No-Go-Ampel und die Vereisungs-Bandauswertung anderer App-Bereiche verwendet — ein einheitlicher Vereisungsbegriff über das gesamte Werkzeug.</w:t></w:r></w:p><w:p><w:r><w:br w:type="page"/></w:r></w:p><w:p><w:pPr><w:pStyle w:val="Heading1"/></w:pPr><w:r><w:t>11. Turbulenz (Turbulence-Flag-Index)</w:t></w:r></w:p><w:p><w:pPr/><w:r><w:t>Die Turbulenzdiagnose deckt bewusst nur das Flugband oberhalb 10 m ab (dynamische Instabilität aus Scherung und Stabilität; Scherung jeweils als Überschuss über das normale Bodenprofil, s. Abschnitt 11.3); Bodenböigkeit wird bereits über die Böen-Zeile und ein eigenes Böen-Overlay abgedeckt. Der Turbulence-Flag-Index (TFI, 0…1) kombiniert drei Faktoren:</w:t></w:r></w:p><w:p><w:pPr><w:pStyle w:val="Formula"/></w:pPr><w:r><w:t>TFI = g(Ri_Ex) · s(|∂V/∂z|_Ex)   [ · w(V) nur auf den Anteil oberhalb "moderate"]</w:t></w:r></w:p><w:p><w:pPr><w:pStyle w:val="Heading2"/></w:pPr><w:r><w:t>11.1 Richardson-Zahl-Faktor g(Ri)</w:t></w:r></w:p><w:p><w:pPr/><w:r><w:t>g(Ri) = 1 für Ri ≤ 0,25 — die Miles-Howard-Schwelle für Kelvin-Helmholtz-Instabilität —, linear fallend auf 0 bei Ri ≥ 1,0. Negative Ri (labile Schichtung, dθ/dz &lt; 0) fallen automatisch in den „≤ 0,25”-Zweig. Thermische Instabilität zählt aber nur, wenn zugleich die Überschuss-Scherung das Scher-Gate öffnet (Abschnitte 11.2, 11.3) — reine Tagesthermik ohne zusätzliche Scherung erscheint nicht (s. Abschnitt 11.5).</w:t></w:r></w:p><w:p><w:pPr><w:pStyle w:val="Heading2"/></w:pPr><w:r><w:t>11.2 Scher-Gate s(|∂V/∂z|)</w:t></w:r></w:p><w:p><w:pPr/><w:r><w:t>Ri ist ein Verhältnis und wird numerisch instabil, wenn die Scherung gegen null geht. Das Scher-Gate (0 unterhalb ≈0,02 s⁻¹, linear auf 1 ab ≈0,05 s⁻¹) wird VOR g(Ri) ausgewertet und beendet die Rechnung bei 0 sofort — eine völlig ruhige, schwach stabile Schicht soll nicht als Turbulenz erscheinen, nur weil Ri dort numerisch unbestimmt ist. Ausgewertet wird die Überschuss-Scherung (Abschnitt 11.3), nicht die rohe Scherung.</w:t></w:r></w:p><w:p><w:pPr><w:pStyle w:val="Heading2"/></w:pPr><w:r><w:t xml:space="preserve">11.3 Bodenschicht-Korrektur: Überschuss-Scherung</w:t></w:r></w:p><w:p><w:pPr/><w:r><w:t xml:space="preserve">Die Schwellen des Scher-Gates stammen aus der freien Atmosphäre. In Bodennähe nimmt der Wind aber auch bei völlig ungestörter, neutraler Schichtung logarithmisch mit der Höhe zu; die daraus folgende normale Scherung (im Mittel 0,03–0,05 s⁻¹ zwischen 10 m und rund 37 m) sättigt das Gate bereits. Bei windiger, gut durchmischter Luft ist zugleich Ri ≈ 0 und damit g(Ri) = 1. Ohne Korrektur meldete der TFI deshalb in der untersten Modellschicht in 19–73 % aller Stunden „moderate” (Stichprobe ICON-D2, 48 h, vier Orte in Deutschland, September/Oktober 2026) — inhaltlich eine Wiederholung der Böen-Information, nicht die gesuchte Scherinstabilität.</w:t></w:r></w:p><w:p><w:pPr/><w:r><w:t xml:space="preserve">Seit Oktober 2026 gehen Scher-Gate und Richardson-Zahl deshalb von der Überschuss-Scherung aus: von der Windänderung über eine Schicht wird die Änderung abgezogen, die ein neutrales logarithmisches Profil erwarten ließe. Verankert wird das Profil am untersten Modelllevel (z_ref ≈ 10 m), vektoriell — eine Drehung der Windrichtung mit der Höhe bleibt damit vollständig als Scherung erhalten.</w:t></w:r></w:p><w:p><w:pPr><w:pStyle w:val="Formula"/></w:pPr><w:r><w:t xml:space="preserve">Erwarteter Wind:  V_log(z) = V(z_ref) · f(z),   f(z) = ln(z/z₀) / ln(z_ref/z₀),   z₀ = 0,1 m</w:t></w:r></w:p><w:p><w:pPr/><w:r><w:t xml:space="preserve">Oberhalb von rund 120 m ist die erwartete Log-Scherung so klein (bei 500 m etwa 0,002 s⁻¹ je 5 m/s Referenzwind), dass sich dort praktisch nichts ändert. In der Stichprobe sank der Anteil „moderate” in der untersten Schicht auf 1–32 %. Scherung, die deutlich über das Bodenprofil hinausgeht, bleibt erhalten — etwa ein nächtlicher Low-Level-Jet (Beispiel Berlin, 01.10.2026 00–07 UTC: 6 kt am Boden, 27 kt in 300 m, weiterhin „severe” in 100–150 m).</w:t></w:r></w:p><w:p><w:pPr><w:pStyle w:val="Callout"/></w:pPr><w:r><w:t xml:space="preserve">Hinweis: Die Rauigkeitslänge z₀ = 0,1 m ist ein Pauschalwert für offenes Gelände, kein Standort- oder Modellwert. Über Wasser (kleineres z₀) wird die normale Bodenscherung unter-, über Wald oder Bebauung (größeres z₀) überkorrigiert; in der untersten Schicht ist das deutlich spürbar. Eine Unterscheidung nach Untergrund ist vorgesehen.</w:t></w:r></w:p><w:p><w:pPr><w:pStyle w:val="Heading2"/></w:pPr><w:r><w:t>11.4 Windstärke-Gate w(V)</w:t></w:r></w:p><w:p><w:pPr/><w:r><w:t>g(Ri) und s(Scherung) sind reine Onset-Kriterien: sie sagen nur, dass sich Kelvin-Helmholtz-Wellen BILDEN können, nichts über die resultierende Intensität — und beide sättigen schnell auf 1. Ohne Korrektur wäre „severe” bereits bei knapp erfülltem Ri- UND Scherkriterium erreichbar, unabhängig von der absoluten Windgeschwindigkeit (in der Praxis beobachtet: bodennahe „severe”-Flächen bei durchweg ≤ 10 kt Wind). Das Windstärke-Gate wirkt deshalb NICHT als weiterer multiplikativer Faktor auf den gesamten Index — das würde auch „light”/„moderate” bei Windstille unterdrücken —, sondern kappt nur den Anteil OBERHALB der „moderate”-Schwelle: 0 unterhalb 5 m/s (≈10 kt), linear auf 1 ab 10 m/s (≈19 kt). „Moderate” bleibt bei Windstille also weiterhin erreichbar, „severe” braucht zusätzlich spürbaren Wind.</w:t></w:r></w:p><w:tbl><w:tblPr><w:tblStyle w:val="LightGrid-Accent1"/><w:tblW w:type="auto" w:w="0"/><w:jc w:val="left"/><w:tblLook w:firstColumn="1" w:firstRow="1" w:lastColumn="0" w:lastRow="0" w:noHBand="0" w:noVBand="1" w:val="04A0"/></w:tblPr><w:tblGrid><w:gridCol w:w="4759"/><w:gridCol w:w="4759"/></w:tblGrid><w:tr><w:tc><w:tcPr><w:tcW w:type="dxa" w:w="2268"/></w:tcPr><w:p><w:r><w:rPr><w:b/><w:sz w:val="19"/></w:rPr><w:t>Kategorie</w:t></w:r></w:p></w:tc><w:tc><w:tcPr><w:tcW w:type="dxa" w:w="2268"/></w:tcPr><w:p><w:r><w:rPr><w:b/><w:sz w:val="19"/></w:rPr><w:t>TFI-Schwelle</w:t></w:r></w:p></w:tc></w:tr><w:tr><w:tc><w:tcPr><w:tcW w:type="dxa" w:w="2268"/></w:tcPr><w:p><w:r><w:rPr><w:sz w:val="19"/></w:rPr><w:t>none</w:t></w:r></w:p></w:tc><w:tc><w:tcPr><w:tcW w:type="dxa" w:w="2268"/></w:tcPr><w:p><w:r><w:rPr><w:sz w:val="19"/></w:rPr><w:t>&lt; 0,15</w:t></w:r></w:p></w:tc></w:tr><w:tr><w:tc><w:tcPr><w:tcW w:type="dxa" w:w="2268"/></w:tcPr><w:p><w:r><w:rPr><w:sz w:val="19"/></w:rPr><w:t>light</w:t></w:r></w:p></w:tc><w:tc><w:tcPr><w:tcW w:type="dxa" w:w="2268"/></w:tcPr><w:p><w:r><w:rPr><w:sz w:val="19"/></w:rPr><w:t>0,15 – 0,30</w:t></w:r></w:p></w:tc></w:tr><w:tr><w:tc><w:tcPr><w:tcW w:type="dxa" w:w="2268"/></w:tcPr><w:p><w:r><w:rPr><w:sz w:val="19"/></w:rPr><w:t>moderate</w:t></w:r></w:p></w:tc><w:tc><w:tcPr><w:tcW w:type="dxa" w:w="2268"/></w:tcPr><w:p><w:r><w:rPr><w:sz w:val="19"/></w:rPr><w:t>0,30 – 0,60</w:t></w:r></w:p></w:tc></w:tr><w:tr><w:tc><w:tcPr><w:tcW w:type="dxa" w:w="2268"/></w:tcPr><w:p><w:r><w:rPr><w:sz w:val="19"/></w:rPr><w:t>severe</w:t></w:r></w:p></w:tc><w:tc><w:tcPr><w:tcW w:type="dxa" w:w="2268"/></w:tcPr><w:p><w:r><w:rPr><w:sz w:val="19"/></w:rPr><w:t>≥ 0,60</w:t></w:r></w:p></w:tc></w:tr></w:tbl><w:p/><w:p><w:pPr><w:pStyle w:val="Callout"/></w:pPr><w:r><w:t>Hinweis: Alle TFI-Schwellenwerte (Ri-Fenster, Scher-Gate, Windstärke-Gate, Kategoriegrenzen) und die Rauigkeitslänge z₀ der Überschuss-Scherung sind NICHT kalibriert.</w:t></w:r></w:p><w:p><w:pPr><w:pStyle w:val="Heading2"/></w:pPr><w:r><w:t>11.5 Bekannte Grenzen</w:t></w:r></w:p><w:p><w:pPr/><w:r><w:t>Der TFI sieht ausschließlich trockene (dynamische) Instabilität über die potenzielle Temperatur — feuchte/konvektive Instabilität wird nicht erfasst. Cb- und TCU-Türme (Abschnitt 9) bleiben deshalb in der Regel OHNE Turbulenzkontur, obwohl in und um solche Wolken erhebliche Turbulenz auftreten kann. Das ist ausdrücklich eine Diagnoselücke, keine Aussage über tatsächliche Ruhe in diesen Bereichen.</w:t></w:r></w:p><w:p><w:pPr/><w:r><w:t xml:space="preserve">Tagesthermik wird nicht erfasst: eine labil geschichtete, aber kaum über das Bodenprofil hinaus gescherte Grenzschicht bleibt seit Einführung der Überschuss-Scherung (Abschnitt 11.3) ohne Kontur. Für kleine Luftfahrzeuge und Drohnen ist solche Thermik meist leicht bis mäßig, aber spürbar; eine eigene, gröbere Diagnose (labile Schichtung und Grenzschichthöhe) ist vorgesehen.</w:t></w:r></w:p><w:p><w:r><w:br w:type="page"/></w:r></w:p><w:p><w:pPr><w:pStyle w:val="Heading1"/></w:pPr><w:r><w:t>12. Bodenwert-Zeilen</w:t></w:r></w:p><w:p><w:pPr/><w:r><w:t>Unter der Hauptfläche folgt ein Stapel von Zahlen-/Symbolzeilen, in der Reihenfolge des klassischen METAR-Meldungskopfes: Wind/Böen, Sicht, Wetter, Temperatur/Taupunkt, Luftdruck. Wolken laufen bewusst nicht als eigene Zeile — sie sind bereits in der Hauptfläche integriert dargestellt.</w:t></w:r></w:p><w:tbl><w:tblPr><w:tblStyle w:val="LightGrid-Accent1"/><w:tblW w:type="auto" w:w="0"/><w:jc w:val="left"/><w:tblLook w:firstColumn="1" w:firstRow="1" w:lastColumn="0" w:lastRow="0" w:noHBand="0" w:noVBand="1" w:val="04A0"/></w:tblPr><w:tblGrid><w:gridCol w:w="3173"/><w:gridCol w:w="3173"/><w:gridCol w:w="3173"/></w:tblGrid><w:tr><w:tc><w:tcPr><w:tcW w:type="dxa" w:w="1304"/></w:tcPr><w:p><w:r><w:rPr><w:b/><w:sz w:val="19"/></w:rPr><w:t>Zeile</w:t></w:r></w:p></w:tc><w:tc><w:tcPr><w:tcW w:type="dxa" w:w="3118"/></w:tcPr><w:p><w:r><w:rPr><w:b/><w:sz w:val="19"/></w:rPr><w:t>Quelle</w:t></w:r></w:p></w:tc><w:tc><w:tcPr><w:tcW w:type="dxa" w:w="3402"/></w:tcPr><w:p><w:r><w:rPr><w:b/><w:sz w:val="19"/></w:rPr><w:t>Bemerkung</w:t></w:r></w:p></w:tc></w:tr><w:tr><w:tc><w:tcPr><w:tcW w:type="dxa" w:w="1304"/></w:tcPr><w:p><w:r><w:rPr><w:sz w:val="19"/></w:rPr><w:t>Wind</w:t></w:r></w:p></w:tc><w:tc><w:tcPr><w:tcW w:type="dxa" w:w="3118"/></w:tcPr><w:p><w:r><w:rPr><w:sz w:val="19"/></w:rPr><w:t>10-m-Wind/-Richtung</w:t></w:r></w:p></w:tc><w:tc><w:tcPr><w:tcW w:type="dxa" w:w="3402"/></w:tcPr><w:p><w:r><w:rPr><w:sz w:val="19"/></w:rPr><w:t>Windfieder-Symbol, s. Abschnitt 5.1</w:t></w:r></w:p></w:tc></w:tr><w:tr><w:tc><w:tcPr><w:tcW w:type="dxa" w:w="1304"/></w:tcPr><w:p><w:r><w:rPr><w:sz w:val="19"/></w:rPr><w:t>Böen</w:t></w:r></w:p></w:tc><w:tc><w:tcPr><w:tcW w:type="dxa" w:w="3118"/></w:tcPr><w:p><w:r><w:rPr><w:sz w:val="19"/></w:rPr><w:t>10-m-Böen</w:t></w:r></w:p></w:tc><w:tc><w:tcPr><w:tcW w:type="dxa" w:w="3402"/></w:tcPr><w:p><w:r><w:rPr><w:sz w:val="19"/></w:rPr><w:t>km/h bzw. kt, je nach Einheiten-Einstellung</w:t></w:r></w:p></w:tc></w:tr><w:tr><w:tc><w:tcPr><w:tcW w:type="dxa" w:w="1304"/></w:tcPr><w:p><w:r><w:rPr><w:sz w:val="19"/></w:rPr><w:t>Sicht</w:t></w:r></w:p></w:tc><w:tc><w:tcPr><w:tcW w:type="dxa" w:w="3118"/></w:tcPr><w:p><w:r><w:rPr><w:sz w:val="19"/></w:rPr><w:t>Modell-Sichtweite (leer bei Modellen ohne Sichtfeld, z. B. ICON Global)</w:t></w:r></w:p></w:tc><w:tc><w:tcPr><w:tcW w:type="dxa" w:w="3402"/></w:tcPr><w:p><w:r><w:rPr><w:sz w:val="19"/></w:rPr><w:t>km, ab 10 km nur "&gt;10"</w:t></w:r></w:p></w:tc></w:tr><w:tr><w:tc><w:tcPr><w:tcW w:type="dxa" w:w="1304"/></w:tcPr><w:p><w:r><w:rPr><w:sz w:val="19"/></w:rPr><w:t>Wetter</w:t></w:r></w:p></w:tc><w:tc><w:tcPr><w:tcW w:type="dxa" w:w="3118"/></w:tcPr><w:p><w:r><w:rPr><w:sz w:val="19"/></w:rPr><w:t>weather_code → METAR-Kürzel</w:t></w:r></w:p></w:tc><w:tc><w:tcPr><w:tcW w:type="dxa" w:w="3402"/></w:tcPr><w:p><w:r><w:rPr><w:sz w:val="19"/></w:rPr><w:t>farbcodiert, s. u.</w:t></w:r></w:p></w:tc></w:tr><w:tr><w:tc><w:tcPr><w:tcW w:type="dxa" w:w="1304"/></w:tcPr><w:p><w:r><w:rPr><w:sz w:val="19"/></w:rPr><w:t>T / Td</w:t></w:r></w:p></w:tc><w:tc><w:tcPr><w:tcW w:type="dxa" w:w="3118"/></w:tcPr><w:p><w:r><w:rPr><w:sz w:val="19"/></w:rPr><w:t>2-m-Temperatur/-Taupunkt</w:t></w:r></w:p></w:tc><w:tc><w:tcPr><w:tcW w:type="dxa" w:w="3402"/></w:tcPr><w:p><w:r><w:rPr><w:sz w:val="19"/></w:rPr><w:t>rot/blau</w:t></w:r></w:p></w:tc></w:tr><w:tr><w:tc><w:tcPr><w:tcW w:type="dxa" w:w="1304"/></w:tcPr><w:p><w:r><w:rPr><w:sz w:val="19"/></w:rPr><w:t>SLP</w:t></w:r></w:p></w:tc><w:tc><w:tcPr><w:tcW w:type="dxa" w:w="3118"/></w:tcPr><w:p><w:r><w:rPr><w:sz w:val="19"/></w:rPr><w:t>auf Meeresniveau reduzierter Druck</w:t></w:r></w:p></w:tc><w:tc><w:tcPr><w:tcW w:type="dxa" w:w="3402"/></w:tcPr><w:p><w:r><w:rPr><w:sz w:val="19"/></w:rPr><w:t>hPa</w:t></w:r></w:p></w:tc></w:tr></w:tbl><w:p/><w:p><w:pPr/><w:r><w:t>Der METAR-Wettercode wird über dieselbe Übersetzungstabelle wie das Briefing-Modul in ein METAR-Kürzel überführt (z. B. RA, SHRA, TSRA, SN, FG, BR, HZ); die Nebel-/Dunst-Familie (FG/BR/HZ) wird dabei mit der grid-nativen Diagnose aus Abschnitt 7 abgeglichen, damit Wetterzeile und Schleierdarstellung nicht widersprüchlich sind. Farblich hervorgehoben: Gewitter (TS) in Rot, Schnee (SN/SG) in Blau, gefrierender Niederschlag und Nebel (FZ) in Rot (dieselbe Farbe wie die FZRA/FZDZ/FZFG-Symbole der Hauptfläche, Abschnitte 7 und 8), FG/BR/HZ in Grautönen. Diagnosen, die nur über einen RH-Fallback oder die Feuchte-Sichtschätzung (statt über Bedeckungsgrad, Kondensat oder Modell-Sichtweite) zustande kamen, werden abgeschwächt (reduzierte Deckkraft) dargestellt — ein visuelles Konfidenzsignal.</w:t></w:r></w:p><w:p><w:r><w:br w:type="page"/></w:r></w:p><w:p><w:pPr><w:pStyle w:val="Heading1"/></w:pPr><w:r><w:t>13. Besonderheiten des Pfadmodus</w:t></w:r></w:p><w:p><w:pPr/><w:r><w:t>Im Pfadmodus (Flugstrecke statt fester Ort) unterscheidet sich die Darstellung in mehreren Punkten grundlegend vom Punktmodus.</w:t></w:r></w:p><w:p><w:pPr><w:pStyle w:val="Heading2"/></w:pPr><w:r><w:t>13.1 Höhenreferenz AMSL statt AGL</w:t></w:r></w:p><w:p><w:pPr/><w:r><w:t>Die Höhenachse zeigt Meereshöhe (AMSL) statt Höhe über Grund — der Ogimet-Konvention für Strecken-GRAMETs folgend, da sich die Bodenhöhe entlang einer Strecke laufend ändert. Die Modell-Orographie (die Geländehöhe, wie sie jedes einzelne Wettermodell-Level „sieht”) wird als durchgehende Silhouette im unteren Teil der Hauptfläche gezeichnet, aus der Bodenhöhe jeder abgerufenen Säule.</w:t></w:r></w:p><w:p><w:pPr><w:pStyle w:val="Heading2"/></w:pPr><w:r><w:t>13.2 Reales Gelände (Mapterhorn)</w:t></w:r></w:p><w:p><w:pPr/><w:r><w:t>Zusätzlich zur (gröberen) Modell-Orographie kann ein zweites, deutlich feineres Geländeprofil eingeblendet werden, bezogen aus den offenen Mapterhorn-Terrainkacheln (Terrarium-kodierte Höhenraster, Kachelzoomstufe 12 — weltweit verfügbar, deutlich feiner als das Wettermodellgitter von ca. 2 km). Dieses Geländeprofil ist ein reiner Vergleichs-Overlay ohne Bezug zu den Wetterdaten und wird unabhängig davon nachgeladen (zweistufiger Cache: Arbeitsspeicher, dann browserpersistent), damit ein langer Pfad mit vielen Kacheln die Wetteranzeige nicht blockiert.</w:t></w:r></w:p><w:p><w:pPr><w:pStyle w:val="Heading2"/></w:pPr><w:r><w:t>13.3 Maximale Flughöhe und Flugprofil</w:t></w:r></w:p><w:p><w:pPr/><w:r><w:t>Eine gestrichelte Linie (weißer Halo, magenta) markiert die konfigurierte maximale Flughöhe über dem jeweiligen lokalen Geländepunkt. Optional kann die Host-Anwendung ein eigenes Höhenprofil überlagern (z. B. eine berechnete Flugtrajektorie), als durchgezogene, absolute AMSL-Linie — unterbrochen an Stellen ohne diagnostizierte Höhe, aber nicht an den sichtbaren Höhengrenzen abgeschnitten, um keine irreführende Phantom-Linie am Rand entstehen zu lassen.</w:t></w:r></w:p><w:p><w:pPr><w:pStyle w:val="Heading2"/></w:pPr><w:r><w:t>13.4 Abbruchgründe</w:t></w:r></w:p><w:p><w:pPr/><w:r><w:t>Der Pfad wird an der ersten Stelle beendet, an der entweder die Bounding Box des gewählten Modells verlassen wird oder das Modell trotz formal gültiger Koordinaten keine Daten liefert (s. Abschnitt 2.3) — beides wird im Chart als Abbruchmarkierung mit Begründung angezeigt.</w:t></w:r></w:p><w:p><w:r><w:br w:type="page"/></w:r></w:p><w:p><w:pPr><w:pStyle w:val="Heading1"/></w:pPr><w:r><w:t>14. Bekannte Einschränkungen und offene Kalibrierung</w:t></w:r></w:p><w:p><w:pPr/><w:r><w:t>Für den fachlichen Gebrauch ist entscheidend zu wissen, WELCHE der oben beschriebenen Schwellenwerte auf echten Beobachtungsdaten beruhen und welche als plausible, aber unvalidierte Platzhalter im Code stehen. Diese Tabelle fasst den Kalibrierungsstatus zusammen (Stand: September 2026):</w:t></w:r></w:p><w:tbl><w:tblPr><w:tblStyle w:val="LightGrid-Accent1"/><w:tblW w:type="auto" w:w="0"/><w:jc w:val="left"/><w:tblLook w:firstColumn="1" w:firstRow="1" w:lastColumn="0" w:lastRow="0" w:noHBand="0" w:noVBand="1" w:val="04A0"/></w:tblPr><w:tblGrid><w:gridCol w:w="3173"/><w:gridCol w:w="3173"/><w:gridCol w:w="3173"/></w:tblGrid><w:tr><w:tc><w:tcPr><w:tcW w:type="dxa" w:w="2438"/></w:tcPr><w:p><w:r><w:rPr><w:b/><w:sz w:val="19"/></w:rPr><w:t>Diagnose</w:t></w:r></w:p></w:tc><w:tc><w:tcPr><w:tcW w:type="dxa" w:w="1531"/></w:tcPr><w:p><w:r><w:rPr><w:b/><w:sz w:val="19"/></w:rPr><w:t>Status</w:t></w:r></w:p></w:tc><w:tc><w:tcPr><w:tcW w:type="dxa" w:w="3685"/></w:tcPr><w:p><w:r><w:rPr><w:b/><w:sz w:val="19"/></w:rPr><w:t>Bemerkung</w:t></w:r></w:p></w:tc></w:tr><w:tr><w:tc><w:tcPr><w:tcW w:type="dxa" w:w="2438"/></w:tcPr><w:p><w:r><w:rPr><w:sz w:val="19"/></w:rPr><w:t>Wolkenfraktion, Sundqvist-Fallback (Abschn. 6.1)</w:t></w:r></w:p></w:tc><w:tc><w:tcPr><w:tcW w:type="dxa" w:w="1531"/></w:tcPr><w:p><w:r><w:rPr><w:sz w:val="19"/></w:rPr><w:t>kalibriert (eingeschränkt)</w:t></w:r></w:p></w:tc><w:tc><w:tcPr><w:tcW w:type="dxa" w:w="3685"/></w:tcPr><w:p><w:r><w:rPr><w:sz w:val="19"/></w:rPr><w:t>Gegen echte ICON-Bedeckungsgrade gefittet, aber nur EIN Kalendermonat (August 2026, Sommer Mitteleuropa) — vor Wintereinsatz erneut prüfen.</w:t></w:r></w:p></w:tc></w:tr><w:tr><w:tc><w:tcPr><w:tcW w:type="dxa" w:w="2438"/></w:tcPr><w:p><w:r><w:rPr><w:sz w:val="19"/></w:rPr><w:t>Kondensat-Skalen qw/qi (Abschn. 6.1)</w:t></w:r></w:p></w:tc><w:tc><w:tcPr><w:tcW w:type="dxa" w:w="1531"/></w:tcPr><w:p><w:r><w:rPr><w:sz w:val="19"/></w:rPr><w:t>nicht kalibriert</w:t></w:r></w:p></w:tc><w:tc><w:tcPr><w:tcW w:type="dxa" w:w="3685"/></w:tcPr><w:p><w:r><w:rPr><w:sz w:val="19"/></w:rPr><w:t>Nur die Asymmetrie-Richtung Wasser/Eis ist literaturgestützt, nicht der Zahlenwert.</w:t></w:r></w:p></w:tc></w:tr><w:tr><w:tc><w:tcPr><w:tcW w:type="dxa" w:w="2438"/></w:tcPr><w:p><w:r><w:rPr><w:sz w:val="19"/></w:rPr><w:t>Nebel/Dunst-Sicht-/RH-Schwellen (Abschn. 7)</w:t></w:r></w:p></w:tc><w:tc><w:tcPr><w:tcW w:type="dxa" w:w="1531"/></w:tcPr><w:p><w:r><w:rPr><w:sz w:val="19"/></w:rPr><w:t>aus Handbuch übernommen</w:t></w:r></w:p></w:tc><w:tc><w:tcPr><w:tcW w:type="dxa" w:w="3685"/></w:tcPr><w:p><w:r><w:rPr><w:sz w:val="19"/></w:rPr><w:t>Direkt aus dem Handbuch Flugwetterdienste, nicht gegen eigene Beobachtungen kalibriert.</w:t></w:r></w:p></w:tc></w:tr><w:tr><w:tc><w:tcPr><w:tcW w:type="dxa" w:w="2438"/></w:tcPr><w:p><w:r><w:rPr><w:sz w:val="19"/></w:rPr><w:t>Konvektions-Auffangpfad: CAPE/Updraft-Schwellen (Abschn. 9.4)</w:t></w:r></w:p></w:tc><w:tc><w:tcPr><w:tcW w:type="dxa" w:w="1531"/></w:tcPr><w:p><w:r><w:rPr><w:sz w:val="19"/></w:rPr><w:t>nicht kalibriert</w:t></w:r></w:p></w:tc><w:tc><w:tcPr><w:tcW w:type="dxa" w:w="3685"/></w:tcPr><w:p><w:r><w:rPr><w:sz w:val="19"/></w:rPr><w:t>Nur wirksam, wenn Wettercode UND thermischer Trigger beide ausfallen.</w:t></w:r></w:p></w:tc></w:tr><w:tr><w:tc><w:tcPr><w:tcW w:type="dxa" w:w="2438"/></w:tcPr><w:p><w:r><w:rPr><w:sz w:val="19"/></w:rPr><w:t>Trigger-Zuschlag +1 K (Abschn. 9.4)</w:t></w:r></w:p></w:tc><w:tc><w:tcPr><w:tcW w:type="dxa" w:w="1531"/></w:tcPr><w:p><w:r><w:rPr><w:sz w:val="19"/></w:rPr><w:t>nicht kalibriert</w:t></w:r></w:p></w:tc><w:tc><w:tcPr><w:tcW w:type="dxa" w:w="3685"/></w:tcPr><w:p><w:r><w:rPr><w:sz w:val="19"/></w:rPr><w:t>Plausibilitätsargument, kein statistischer Fit.</w:t></w:r></w:p></w:tc></w:tr><w:tr><w:tc><w:tcPr><w:tcW w:type="dxa" w:w="2438"/></w:tcPr><w:p><w:r><w:rPr><w:sz w:val="19"/></w:rPr><w:t>Towering-Hürde, Glaziations-/Tropopausenschwelle (Abschn. 9.5)</w:t></w:r></w:p></w:tc><w:tc><w:tcPr><w:tcW w:type="dxa" w:w="1531"/></w:tcPr><w:p><w:r><w:rPr><w:sz w:val="19"/></w:rPr><w:t>nicht kalibriert</w:t></w:r></w:p></w:tc><w:tc><w:tcPr><w:tcW w:type="dxa" w:w="3685"/></w:tcPr><w:p><w:r><w:rPr><w:sz w:val="19"/></w:rPr><w:t>Feste Vorgaben (5000 ft, −20 °C, 1200 m).</w:t></w:r></w:p></w:tc></w:tr><w:tr><w:tc><w:tcPr><w:tcW w:type="dxa" w:w="2438"/></w:tcPr><w:p><w:r><w:rPr><w:sz w:val="19"/></w:rPr><w:t>Entrainment-Koeffizienten C, a (Abschn. 9.3)</w:t></w:r></w:p></w:tc><w:tc><w:tcPr><w:tcW w:type="dxa" w:w="1531"/></w:tcPr><w:p><w:r><w:rPr><w:sz w:val="19"/></w:rPr><w:t>aus Literatur übernommen</w:t></w:r></w:p></w:tc><w:tc><w:tcPr><w:tcW w:type="dxa" w:w="3685"/></w:tcPr><w:p><w:r><w:rPr><w:sz w:val="19"/></w:rPr><w:t>Aus einer dokumentierten Cumulusschema-Implementierung (Chikira &amp; Sugiyama 2010), nicht eigens für dieses Werkzeug gefittet.</w:t></w:r></w:p></w:tc></w:tr><w:tr><w:tc><w:tcPr><w:tcW w:type="dxa" w:w="2438"/></w:tcPr><w:p><w:r><w:rPr><w:sz w:val="19"/></w:rPr><w:t>IPI-Temperaturfenster und -Kategorien (Abschn. 10)</w:t></w:r></w:p></w:tc><w:tc><w:tcPr><w:tcW w:type="dxa" w:w="1531"/></w:tcPr><w:p><w:r><w:rPr><w:sz w:val="19"/></w:rPr><w:t>nicht kalibriert</w:t></w:r></w:p></w:tc><w:tc><w:tcPr><w:tcW w:type="dxa" w:w="3685"/></w:tcPr><w:p><w:r><w:rPr><w:sz w:val="19"/></w:rPr><w:t>Plausibel begründete, aber nicht validierte Platzhalter.</w:t></w:r></w:p></w:tc></w:tr><w:tr><w:tc><w:tcPr><w:tcW w:type="dxa" w:w="2438"/></w:tcPr><w:p><w:r><w:rPr><w:sz w:val="19"/></w:rPr><w:t>TFI-Schwellen (Ri, Scherung, Wind, Kategorien) (Abschn. 11)</w:t></w:r></w:p></w:tc><w:tc><w:tcPr><w:tcW w:type="dxa" w:w="1531"/></w:tcPr><w:p><w:r><w:rPr><w:sz w:val="19"/></w:rPr><w:t>nicht kalibriert</w:t></w:r></w:p></w:tc><w:tc><w:tcPr><w:tcW w:type="dxa" w:w="3685"/></w:tcPr><w:p><w:r><w:rPr><w:sz w:val="19"/></w:rPr><w:t>Plausibel begründete, aber nicht validierte Platzhalter; Rauigkeitslänge z₀ = 0,1 m der Überschuss-Scherung pauschal (kein Land/Wasser).</w:t></w:r></w:p></w:tc></w:tr></w:tbl><w:p/><w:p><w:pPr><w:pStyle w:val="Heading2"/></w:pPr><w:r><w:t>14.1 Strukturelle Diagnoselücken</w:t></w:r></w:p><w:p><w:pPr><w:pStyle w:val="ListBullet"/></w:pPr><w:r><w:t>Die Turbulenzdiagnose (Abschnitt 11) erfasst keine feuchte/konvektive Instabilität — Konvektionstürme bleiben i. d. R. ohne Turbulenzkontur, obwohl dort real erhebliche Turbulenz auftreten kann.</w:t></w:r></w:p><w:p><w:pPr><w:pStyle w:val="ListBullet"/></w:pPr><w:r><w:t xml:space="preserve">Tagesthermik ohne nennenswerte Überschuss-Scherung wird von der Turbulenzdiagnose nicht erfasst (Abschnitt 11.5).</w:t></w:r></w:p><w:p><w:pPr><w:pStyle w:val="ListBullet"/></w:pPr><w:r><w:t>Die Konvektions-Parcel-Rechnung (Abschnitt 9) ist für bodennah ausgelöste Tageskonvektion konzipiert; bei elevated/frontal erzwungener Konvektion (Auslösung ohne Bodentrigger) wird auf den modelleigenen Wolkenoberrand ausgewichen, was weniger physikalisch fundiert ist als die eigentliche Parcel-Rechnung.</w:t></w:r></w:p><w:p><w:pPr><w:pStyle w:val="ListBullet"/></w:pPr><w:r><w:t>Alle Diagnosen sind Ableitungen aus Modellfeldern, keine Beobachtung — sie erben grundsätzlich jede Modellunsicherheit (Gitterauflösung, Parametrisierungsfehler, Vorhersagehorizont).</w:t></w:r></w:p><w:p><w:pPr><w:pStyle w:val="ListBullet"/></w:pPr><w:r><w:t>Die Konvektionszellen-Anzahl in der grafischen Darstellung (Abschnitt 9.6) ist ein Stilmittel zur Lesbarkeit, kein Zähler tatsächlicher Gewitterzellen.</w:t></w:r></w:p><w:p><w:r><w:br w:type="page"/></w:r></w:p><w:p><w:pPr><w:pStyle w:val="Heading1"/></w:pPr><w:r><w:t>15. Quellen und Literatur</w:t></w:r></w:p><w:p><w:pPr><w:pStyle w:val="ListBullet"/></w:pPr><w:r><w:t>Doswell, C. A. III &amp; Rasmussen, E. N. (1994): The Effect of Neglecting the Virtual Temperature Correction on CAPE Calculations. Weather and Forecasting, 9(4), 625–629.</w:t></w:r></w:p><w:p><w:pPr><w:pStyle w:val="ListBullet"/></w:pPr><w:r><w:t>Gregory, D. (2001): Estimation of entrainment rate in simple models of convective clouds. Quarterly Journal of the Royal Meteorological Society, 127(571), 53–72.</w:t></w:r></w:p><w:p><w:pPr><w:pStyle w:val="ListBullet"/></w:pPr><w:r><w:t>Chikira, M. &amp; Sugiyama, M. (2010): A Cumulus Parameterization with State-Dependent Entrainment Rate. Journal of the Atmospheric Sciences, 67(7), 2171–2193. (Referenzimplementierung: physics/CONV/Chikira_Sugiyama/cs_conv.F90, NOAA/NCAR Common Community Physics Package, github.com/NCAR/ccpp-physics)</w:t></w:r></w:p><w:p><w:pPr><w:pStyle w:val="ListBullet"/></w:pPr><w:r><w:t>Del Genio, A. D. &amp; Wu, J. (2010): The Role of Entrainment in the Diurnal Cycle of Continental Convection. Journal of Climate, 23(10), 2722–2738.</w:t></w:r></w:p><w:p><w:pPr><w:pStyle w:val="ListBullet"/></w:pPr><w:r><w:t>Peters, J. M. et al. (2023): entrainment-/CAPE-Formalismus für Konvektionsschemata (geprüft, für diese Implementierung nicht übernommen — s. Abschnitt 9.3, Begründung im Quellcode).</w:t></w:r></w:p><w:p><w:pPr><w:pStyle w:val="ListBullet"/></w:pPr><w:r><w:t>Grundner, A. et al. (2024): Data-Driven Equation Discovery of a Cloud Cover Parameterization. Journal of Advances in Modeling Earth Systems (JAMES).</w:t></w:r></w:p><w:p><w:pPr><w:pStyle w:val="ListBullet"/></w:pPr><w:r><w:t>World Meteorological Organization: WMO-Kriterium für die Tropopausenbestimmung; Sättigungsdampfdruck-Formeln nach WMO/Magnus.</w:t></w:r></w:p><w:p><w:pPr><w:pStyle w:val="ListBullet"/></w:pPr><w:r><w:t>Handbuch Flugwetterdienste, Band Beobachtungen (Sicht-/RH-Kriterien für Nebel-/Dunst-Klassifikation).</w:t></w:r></w:p><w:p><w:pPr><w:pStyle w:val="ListBullet"/></w:pPr><w:r><w:t>Sundqvist, H. (1978): A parameterization scheme for non-convective condensation including prediction of cloud water content. Quarterly Journal of the Royal Meteorological Society, 104(441), 677–690 (Grundform der RH-basierten Wolkenfraktions-Fallback-Formel).</w:t></w:r></w:p><w:p><w:pPr><w:pStyle w:val="ListBullet"/></w:pPr><w:r><w:t>Doran, J. A., P. J. Roohr, D. J. Beberwyk, G. R. Brooks, G. A. Gayno, R. T. Williams, J. M. Lewis und R. J. Lefevre (1999): The MM5 at the Air Force Weather Agency – New products to support military operations. 8th Conference on Aviation, Range, and Aerospace Meteorology, Dallas, Texas, 10.–15. Januar 1999 (Sichtschätzung für Modelle ohne Sichtfeld, Abschn. 7). Hinweis: Primärquelle nicht eingesehen; Formel zitiert nach Khlestova/Tatarinovich (s. u.). Die Einheit Meilen ist dort nicht eindeutig ausgewiesen.</w:t></w:r></w:p><w:p><w:pPr><w:pStyle w:val="ListBullet"/></w:pPr><w:r><w:t>Khlestova, Yu. und E. Tatarinovich (2021): AWARE Task 4.1 – Postprocessing vs. direct model output for HIW, Part 1: Overview of fog forecast. COSMO-Konsortium, https://www.cosmo-model.org/content/tasks/pastProjects/aware/report4-1.pdf (Tab. 1: Formel nach Doran et al. 1999, Anwendung am NOAA Forecast Systems Laboratory).</w:t></w:r></w:p><w:p><w:pPr><w:pStyle w:val="ListBullet"/></w:pPr><w:r><w:t>Zur Abgrenzung: Smirnova, T. G., S. G. Benjamin und J. M. Brown (2000): Case study verification of RUC/MAPS fog and visibility forecasts. 9th Conference on Aviation, Range, and Aerospace Meteorology, Orlando, FL. Das dort beschriebene RH-Schema des RUC (8 km ab RH ≥ 95 %, darunter exponentiell zunehmend) ist NICHT die hier verwendete Formel.</w:t></w:r></w:p><w:p><w:pPr><w:pStyle w:val="Caption2"/></w:pPr><w:r><w:t>Diese Dokumentation beschreibt den Stand der Implementierung im meteokit-Repository (Module src/gramet/*, src/clouds.js) zum oben genannten Datum. Schwellenwerte und Verfahren können sich mit künftigen Kalibrierungen ändern.</w:t></w:r></w:p><w:sectPr w:rsidR="00FC693F" w:rsidRPr="0006063C" w:rsidSect="00034616"><w:footerReference w:type="default" r:id="rId9"/><w:pgSz w:w="12240" w:h="15840"/><w:pgMar w:top="1134" w:right="1361" w:bottom="1134" w:left="1361"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1B4A6B"/>
      <w:sz w:val="40"/>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b/>
      <w:bCs/>
      <w:color w:val="1B4A6B"/>
      <w:sz w:val="29"/>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2">
    <w:name w:val="Caption2"/>
    <w:basedOn w:val="Normal"/>
    <w:pPr>
      <w:spacing w:after="200"/>
    </w:pPr>
    <w:rPr>
      <w:b w:val="0"/>
      <w:i/>
      <w:color w:val="555555"/>
      <w:sz w:val="18"/>
    </w:rPr>
  </w:style>
  <w:style w:type="paragraph" w:customStyle="1" w:styleId="Callout">
    <w:name w:val="Callout"/>
    <w:basedOn w:val="Normal"/>
    <w:pPr>
      <w:spacing w:after="160"/>
    </w:pPr>
    <w:rPr>
      <w:b w:val="0"/>
      <w:i w:val="0"/>
      <w:color w:val="8A2A2A"/>
      <w:sz w:val="20"/>
    </w:rPr>
  </w:style>
  <w:style w:type="paragraph" w:customStyle="1" w:styleId="Formula">
    <w:name w:val="Formula"/>
    <w:basedOn w:val="Normal"/>
    <w:pPr>
      <w:spacing w:after="160"/>
    </w:pPr>
    <w:rPr>
      <w:b w:val="0"/>
      <w:i w:val="0"/>
      <w:color w:val="1A1A1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