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52"/>
        </w:rPr>
        <w:t>TlogP Sounding Viewer</w:t>
      </w:r>
    </w:p>
    <w:p>
      <w:pPr>
        <w:jc w:val="center"/>
      </w:pPr>
      <w:r>
        <w:rPr>
          <w:color w:val="607090"/>
          <w:sz w:val="28"/>
        </w:rPr>
        <w:t>Technische und physikalische Dokumentation</w:t>
      </w:r>
    </w:p>
    <w:p/>
    <w:p>
      <w:pPr>
        <w:jc w:val="center"/>
      </w:pPr>
      <w:r>
        <w:t>Version Oktober 2026  ·  Zielgruppe: Meteorologisch ausgebildete Nutzer</w:t>
      </w:r>
    </w:p>
    <w:p>
      <w:r>
        <w:br w:type="page"/>
      </w:r>
    </w:p>
    <w:p>
      <w:pPr>
        <w:pStyle w:val="Heading1"/>
        <w:jc w:val="left"/>
      </w:pPr>
      <w:r>
        <w:t>1  Überblick und Architektur</w:t>
      </w:r>
    </w:p>
    <w:p>
      <w:pPr/>
      <w:r>
        <w:t xml:space="preserve">Der TlogP Sounding Viewer ist eine browserbasierte Anwendung (single-file HTML/JavaScript) zur Visualisierung und Analyse atmosphärischer Vertikalprofile. Er verarbeitet Modellprofile aus ICON-D2, ICON-EU und ICON Global (vorberechnet auf dem Server oder live von Open-Meteo abgerufen), gemessene Radiosondenaufstiege (Windy) sowie lokale JSON- und ASCII-Dateien. Mehrere Profile lassen sich als Vergleichskurven übereinanderlegen. Die Darstellung erfolgt als Skew-T/log-p-Diagramm auf einem HTML-Canvas-Element. Eine öffentliche, passwortfreie Variante mit identischem Diagrammkern ist unter /om/ erreichbar.</w:t>
      </w:r>
    </w:p>
    <w:p>
      <w:pPr>
        <w:pStyle w:val="Heading2"/>
        <w:jc w:val="left"/>
      </w:pPr>
      <w:r>
        <w:t>1.1  Datenquellen und -formate</w:t>
      </w:r>
    </w:p>
    <w:p>
      <w:pPr/>
      <w:r>
        <w:t>Unterstützte Eingangsformate:</w:t>
      </w:r>
    </w:p>
    <w:p>
      <w:pPr>
        <w:pStyle w:val="ListBullet"/>
      </w:pPr>
      <w:r>
        <w:t xml:space="preserve">DWD Opendata (JSON, ICON-D2/-EU/Global) – serverseitig per Timer für vordefinierte Orte erzeugt: fetch_sounding.py dekodiert GRIB2 vom DWD-Opendata-Server, fetch_sounding_openmeteo.py liefert dieselben nativen Modelllevel über Open-Meteo (Dateisuffix _OM)</w:t>
      </w:r>
    </w:p>
    <w:p>
      <w:pPr>
        <w:pStyle w:val="ListBullet"/>
      </w:pPr>
      <w:r>
        <w:t xml:space="preserve">Modelllevel (live) – native ICON-Level von Open-Meteo für einen frei gewählten Ort (primär open-meteo.wetterheidi.de, Fallback-Server werden in der Statuszeile gekennzeichnet); enthält bei ICON-D2 zusätzlich den LPI sowie Wolkenwasser/-eis und Bedeckungsgrad je Level</w:t>
      </w:r>
    </w:p>
    <w:p>
      <w:pPr>
        <w:pStyle w:val="ListBullet"/>
      </w:pPr>
      <w:r>
        <w:t xml:space="preserve">Druckflächen (live) – öffentliche Open-Meteo-API, Standarddruckflächen 1000–30 hPa</w:t>
      </w:r>
    </w:p>
    <w:p>
      <w:pPr>
        <w:pStyle w:val="ListBullet"/>
      </w:pPr>
      <w:r>
        <w:t xml:space="preserve">Messung – echte Radiosondenaufstiege über die Windy-API, Station per Karte wählbar</w:t>
      </w:r>
    </w:p>
    <w:p>
      <w:pPr>
        <w:pStyle w:val="ListBullet"/>
      </w:pPr>
      <w:r>
        <w:t xml:space="preserve">Lokale JSON-Datei im Ausgabeschema der Fetcher-Skripte</w:t>
      </w:r>
    </w:p>
    <w:p>
      <w:pPr>
        <w:pStyle w:val="ListBullet"/>
      </w:pPr>
      <w:r>
        <w:t>ASCII Radiosonde – Windsond HEIDIS-Exportformat: Height[m] / Pressure[hPa] / Temperature[°C] / Dewpoint[°C] / Wind direction[°] / Wind speed[m/s]</w:t>
      </w:r>
    </w:p>
    <w:p>
      <w:pPr/>
      <w:r>
        <w:t>Bei hochauflösenden Radiosondendaten (mittlerer Levelabstand &lt; 20 m) wird automatisch eine Dezimierung auf 50-m-Bins durchgeführt. Der nächstgelegene Messpunkt zum Bin-Mittelpunkt wird als Repräsentant gewählt. Ein Hinweis über die Anzahl der Originaldaten und der dezimier­ten Level wird in der Browser-Konsole ausgegeben.</w:t>
      </w:r>
    </w:p>
    <w:p>
      <w:pPr>
        <w:pStyle w:val="Heading2"/>
        <w:jc w:val="left"/>
      </w:pPr>
      <w:r>
        <w:t>1.2  Diagrammtyp: Skew-T/log-p</w:t>
      </w:r>
    </w:p>
    <w:p>
      <w:pPr/>
      <w:r>
        <w:t>Das Skew-T/log-p-Diagramm (auch Tephigramm-Variante) stellt die Temperaturachse um einen fixen Winkel gegenüber der Druckachse (logarithmische Skala) geneigt dar. Dadurch werden Trockenadiabaten näherungsweise vertikal und Feuchtadiabaten leicht rückwärts geneigt, was die qualitative Beurteilung der Schichtstabilität erheblich erleichtert.</w:t>
      </w:r>
    </w:p>
    <w:p>
      <w:pPr/>
      <w:r>
        <w:t>Der Hintergrund enthält folgende Linienfamilien:</w:t>
      </w:r>
    </w:p>
    <w:tbl>
      <w:tblPr>
        <w:tblStyle w:val="TableGrid"/>
        <w:tblW w:type="auto" w:w="0"/>
        <w:tblLook w:firstColumn="1" w:firstRow="1" w:lastColumn="0" w:lastRow="0" w:noHBand="0" w:noVBand="1" w:val="04A0"/>
      </w:tblPr>
      <w:tblGrid>
        <w:gridCol w:w="4561"/>
        <w:gridCol w:w="4561"/>
      </w:tblGrid>
      <w:tr>
        <w:tc>
          <w:tcPr>
            <w:tcW w:type="dxa" w:w="4561"/>
          </w:tcPr>
          <w:p>
            <w:r>
              <w:rPr>
                <w:b/>
              </w:rPr>
              <w:t>Linie</w:t>
            </w:r>
          </w:p>
        </w:tc>
        <w:tc>
          <w:tcPr>
            <w:tcW w:type="dxa" w:w="4561"/>
          </w:tcPr>
          <w:p>
            <w:r>
              <w:rPr>
                <w:b/>
              </w:rPr>
              <w:t>Beschreibung</w:t>
            </w:r>
          </w:p>
        </w:tc>
      </w:tr>
      <w:tr>
        <w:tc>
          <w:tcPr>
            <w:tcW w:type="dxa" w:w="4561"/>
          </w:tcPr>
          <w:p>
            <w:r>
              <w:t>Isobaren</w:t>
            </w:r>
          </w:p>
        </w:tc>
        <w:tc>
          <w:tcPr>
            <w:tcW w:type="dxa" w:w="4561"/>
          </w:tcPr>
          <w:p>
            <w:r>
              <w:t>Horizontale Linien, logarithmisch skaliert</w:t>
            </w:r>
          </w:p>
        </w:tc>
      </w:tr>
      <w:tr>
        <w:tc>
          <w:tcPr>
            <w:tcW w:type="dxa" w:w="4561"/>
          </w:tcPr>
          <w:p>
            <w:r>
              <w:t>Isothermen</w:t>
            </w:r>
          </w:p>
        </w:tc>
        <w:tc>
          <w:tcPr>
            <w:tcW w:type="dxa" w:w="4561"/>
          </w:tcPr>
          <w:p>
            <w:r>
              <w:t>Geneigte durchgezogene Linien, alle 10 K</w:t>
            </w:r>
          </w:p>
        </w:tc>
      </w:tr>
      <w:tr>
        <w:tc>
          <w:tcPr>
            <w:tcW w:type="dxa" w:w="4561"/>
          </w:tcPr>
          <w:p>
            <w:r>
              <w:t>Trockenadiabaten</w:t>
            </w:r>
          </w:p>
        </w:tc>
        <w:tc>
          <w:tcPr>
            <w:tcW w:type="dxa" w:w="4561"/>
          </w:tcPr>
          <w:p>
            <w:r>
              <w:t>Braune Linien (θ = const.), alle 10 K</w:t>
            </w:r>
          </w:p>
        </w:tc>
      </w:tr>
      <w:tr>
        <w:tc>
          <w:tcPr>
            <w:tcW w:type="dxa" w:w="4561"/>
          </w:tcPr>
          <w:p>
            <w:r>
              <w:t>Feuchtadiabaten</w:t>
            </w:r>
          </w:p>
        </w:tc>
        <w:tc>
          <w:tcPr>
            <w:tcW w:type="dxa" w:w="4561"/>
          </w:tcPr>
          <w:p>
            <w:r>
              <w:t>Grüne Linien (θ_e = const.), alle 4 K, RK4-Integration</w:t>
            </w:r>
          </w:p>
        </w:tc>
      </w:tr>
      <w:tr>
        <w:tc>
          <w:tcPr>
            <w:tcW w:type="dxa" w:w="4561"/>
          </w:tcPr>
          <w:p>
            <w:r>
              <w:t>Isohumen</w:t>
            </w:r>
          </w:p>
        </w:tc>
        <w:tc>
          <w:tcPr>
            <w:tcW w:type="dxa" w:w="4561"/>
          </w:tcPr>
          <w:p>
            <w:r>
              <w:t>Gestrichelte grüne Linien (w = const.), Werte: 0.5, 1, 2, 4, 7, 10, 16, 24 g/kg</w:t>
            </w:r>
          </w:p>
        </w:tc>
      </w:tr>
    </w:tbl>
    <w:p/>
    <w:p>
      <w:r>
        <w:br w:type="page"/>
      </w:r>
    </w:p>
    <w:p>
      <w:pPr>
        <w:pStyle w:val="Heading1"/>
        <w:jc w:val="left"/>
      </w:pPr>
      <w:r>
        <w:t>2  Thermodynamische Grundverfahren</w:t>
      </w:r>
    </w:p>
    <w:p>
      <w:pPr>
        <w:pStyle w:val="Heading2"/>
        <w:jc w:val="left"/>
      </w:pPr>
      <w:r>
        <w:t>2.1  Sättigungsdampfdruck</w:t>
      </w:r>
    </w:p>
    <w:p>
      <w:pPr/>
      <w:r>
        <w:t>Der Sättigungsdampfdruck wird nach der Tetens-Formel berechnet. Über Wasser (T ≥ 0 °C) und über Eis (T ≤ −40 °C) werden unterschiedliche Koeffizientensätze verwendet; im Mischphasen­bereich (−40 °C &lt; T &lt; 0 °C) erfolgt eine lineare Interpolation:</w:t>
      </w:r>
    </w:p>
    <w:p>
      <w:pPr>
        <w:jc w:val="center"/>
      </w:pPr>
      <w:r>
        <w:rPr>
          <w:rFonts w:ascii="Courier New" w:hAnsi="Courier New"/>
          <w:i/>
          <w:sz w:val="20"/>
        </w:rPr>
        <w:t>e_s,water(T) = 611.2 · exp(17.67 · T / (T + 243.5))  [Pa]</w:t>
      </w:r>
    </w:p>
    <w:p>
      <w:pPr>
        <w:jc w:val="center"/>
      </w:pPr>
      <w:r>
        <w:rPr>
          <w:rFonts w:ascii="Courier New" w:hAnsi="Courier New"/>
          <w:i/>
          <w:sz w:val="20"/>
        </w:rPr>
        <w:t>e_s,ice(T)   = 611.2 · exp(21.87 · T / (T + 265.5))  [Pa]</w:t>
      </w:r>
    </w:p>
    <w:p>
      <w:pPr/>
      <w:r>
        <w:t>Der Übergang zur Eisphase ist für die Berechnung der mixed-phase-RH (Wolkenerkennung) und die Feuchtadiabaten-Integration relevant. In der Funktion MET._moist_dTdp wird T auf −80 °C geclippt, da die Tetens-Formel unterhalb dieses Wertes nicht mehr physikalisch validiert ist. Aufgrund des gegen null strebenden Sättigungsmischungsverhältnisses hat dies praktisch keinen Einfluss auf das Ergebnis.</w:t>
      </w:r>
    </w:p>
    <w:p>
      <w:pPr>
        <w:pStyle w:val="Heading2"/>
        <w:jc w:val="left"/>
      </w:pPr>
      <w:r>
        <w:t>2.2  Feuchtadiabatischer Temperaturgradient (RK4)</w:t>
      </w:r>
    </w:p>
    <w:p>
      <w:pPr/>
      <w:r>
        <w:t>Die pseudoadiabatische Aufstiegstemperatur wird durch numerische Integration des Differenzialgleichungssystems dT/dp mit dem Runge-Kutta-Verfahren 4. Ordnung (RK4) berechnet:</w:t>
      </w:r>
    </w:p>
    <w:p>
      <w:pPr>
        <w:jc w:val="center"/>
      </w:pPr>
      <w:r>
        <w:rPr>
          <w:rFonts w:ascii="Courier New" w:hAnsi="Courier New"/>
          <w:i/>
          <w:sz w:val="20"/>
        </w:rPr>
        <w:t>dT/dp = (R_d · T + L_v · r_s) / (p · c_p + p · L_v² · r_s · ε / (R_d · T²))</w:t>
      </w:r>
    </w:p>
    <w:p>
      <w:pPr/>
      <w:r>
        <w:t>mit R_d = 287.05 J/(kg·K), c_p = 1004 J/(kg·K), ε = 0.622, L_v temperaturabhängig (linear interpoliert zwischen Wasser- und Eiswert im Mischphasenbereich). Die Schrittweite beträgt 5 hPa; der Konvergenztest zeigt, dass die Abweichung gegenüber 1-hPa-Schritten kleiner als 0.1 mK ist. Bei T &lt; −80 °C konvergiert die Formel automatisch gegen die Trockenadiabate (r_s → 0).</w:t>
      </w:r>
    </w:p>
    <w:p>
      <w:pPr>
        <w:pStyle w:val="Heading2"/>
        <w:jc w:val="left"/>
      </w:pPr>
      <w:r>
        <w:t>2.3  Virtuelle Temperatur</w:t>
      </w:r>
    </w:p>
    <w:p>
      <w:pPr/>
      <w:r>
        <w:t>Für die CAPE-Integration wird die virtuelle Temperatur nach Doswell &amp; Rasmussen (1994) verwendet, um den Auftrieb durch Wasserdampf korrekt zu erfassen:</w:t>
      </w:r>
    </w:p>
    <w:p>
      <w:pPr>
        <w:jc w:val="center"/>
      </w:pPr>
      <w:r>
        <w:rPr>
          <w:rFonts w:ascii="Courier New" w:hAnsi="Courier New"/>
          <w:i/>
          <w:sz w:val="20"/>
        </w:rPr>
        <w:t>T_v = T · (1 + 0.608 · w)</w:t>
      </w:r>
    </w:p>
    <w:p>
      <w:pPr/>
      <w:r>
        <w:t>wobei w das Mischungsverhältnis [kg/kg] bezeichnet. Für das Luftpaket wird w aus der Sättigungsfeuchte bei der Parceltemperatur berechnet; für die Umgebung aus dem Taupunkt.</w:t>
      </w:r>
    </w:p>
    <w:p>
      <w:r>
        <w:br w:type="page"/>
      </w:r>
    </w:p>
    <w:p>
      <w:pPr>
        <w:pStyle w:val="Heading1"/>
        <w:jc w:val="left"/>
      </w:pPr>
      <w:r>
        <w:t>3  Aufstiegsparameter und Labilität</w:t>
      </w:r>
    </w:p>
    <w:p>
      <w:pPr>
        <w:pStyle w:val="Heading2"/>
        <w:jc w:val="left"/>
      </w:pPr>
      <w:r>
        <w:t>3.1  Mixed-Layer-Parcel und LCL</w:t>
      </w:r>
    </w:p>
    <w:p>
      <w:pPr/>
      <w:r>
        <w:t>Als Ausgangspunkt für den Standardparcel dient ein Mixed-Layer-Parcel der untersten 100 hPa. Eine Inversionsbehandlung identifiziert zunächst das wärmste Level in Bodennähe. Das repräsentative Mischungsverhältnis wird als arithmetisches Mittel über alle Level in den untersten 100 hPa berechnet. Die LCL-Temperatur und der LCL-Druck werden iterativ durch Aufstieg entlang der Trockenadiabate bis zum Erreichen der Sättigung bestimmt (Bolton 1980).</w:t>
      </w:r>
    </w:p>
    <w:p>
      <w:pPr>
        <w:pStyle w:val="Heading2"/>
        <w:jc w:val="left"/>
      </w:pPr>
      <w:r>
        <w:t>3.2  LFC-Bestimmung</w:t>
      </w:r>
    </w:p>
    <w:p>
      <w:pPr/>
      <w:r>
        <w:t>Die Suche nach dem Level of Free Convection (LFC) folgt dem Algorithmus des NinJo-Operators LFCOperator (DWD): Grobe Suche in 2-hPa-Schritten entlang der Feuchtadiabate ab LCL, anschließend Verfeinerung in 0.05-hPa-Schritten um das erste Durchstoßen der Umgebungstemperatur zu lokalisieren. Falls der Parcel am LCL bereits wärmer als die Umgebung ist, gilt LFC = LCL.</w:t>
      </w:r>
    </w:p>
    <w:p>
      <w:pPr>
        <w:pStyle w:val="Heading2"/>
        <w:jc w:val="left"/>
      </w:pPr>
      <w:r>
        <w:t>3.3  CAPE und CIN</w:t>
      </w:r>
    </w:p>
    <w:p>
      <w:pPr/>
      <w:r>
        <w:t>Die Integration von CAPE und CIN erfolgt nach:</w:t>
      </w:r>
    </w:p>
    <w:p>
      <w:pPr>
        <w:jc w:val="center"/>
      </w:pPr>
      <w:r>
        <w:rPr>
          <w:rFonts w:ascii="Courier New" w:hAnsi="Courier New"/>
          <w:i/>
          <w:sz w:val="20"/>
        </w:rPr>
        <w:t>CAPE = ∫[LFC→EL]  g · (T_v,pcl − T_v,env) / T_v,env · dz</w:t>
      </w:r>
    </w:p>
    <w:p>
      <w:pPr>
        <w:jc w:val="center"/>
      </w:pPr>
      <w:r>
        <w:rPr>
          <w:rFonts w:ascii="Courier New" w:hAnsi="Courier New"/>
          <w:i/>
          <w:sz w:val="20"/>
        </w:rPr>
        <w:t>CIN  = ∫[SFC→LFC] g · (T_v,pcl − T_v,env) / T_v,env · dz  (negative Anteile)</w:t>
      </w:r>
    </w:p>
    <w:p>
      <w:pPr/>
      <w:r>
        <w:t>Die untere Grenze der ersten CAPE-Schicht ist die exakt interpolierte LFC-Höhe, nicht das nächste Sondierungslevel (analog zu SoundingFunctions.calculateCAPE in NinJo). Das Equilibrium Level (EL) ist die erste (unterste) Nullstelle des Auftriebs oberhalb der LFC, linear zwischen den Sondierungsleveln interpoliert. Dort endet auch die CAPE-Integration: eine weiter oben erneut positiv auftriebige, entkoppelte Schicht zählt weder zur CAPE noch verschiebt sie das EL. Ist das Paket am oberen Rand der Daten noch positiv, wird kein EL ausgewiesen. Dieselbe Regel gilt für EL (CCL) und CAPE (CCL).</w:t>
      </w:r>
    </w:p>
    <w:p>
      <w:pPr/>
      <w:r>
        <w:t>Drei CAPE-Varianten stehen zur Verfügung:</w:t>
      </w:r>
    </w:p>
    <w:p>
      <w:pPr>
        <w:pStyle w:val="ListBullet"/>
      </w:pPr>
      <w:r>
        <w:t>CAPE (LFC): Standard Mixed-Layer-Parcel, LFC-basiert</w:t>
      </w:r>
    </w:p>
    <w:p>
      <w:pPr>
        <w:pStyle w:val="ListBullet"/>
      </w:pPr>
      <w:r>
        <w:t>CAPE (CCL): Parcel ab CCL mit konvektiver Auslösetemperatur</w:t>
      </w:r>
    </w:p>
    <w:p>
      <w:pPr>
        <w:pStyle w:val="ListBullet"/>
      </w:pPr>
      <w:r>
        <w:t>MU-CAPE: Most-Unstable-Parcel (Maximum der äquivalentpotentiellen Temperatur θ_e in den untersten 300 hPa)</w:t>
      </w:r>
    </w:p>
    <w:p>
      <w:pPr>
        <w:pStyle w:val="Heading2"/>
        <w:jc w:val="left"/>
      </w:pPr>
      <w:r>
        <w:t>3.4  CCL und Auslösetemperatur</w:t>
      </w:r>
    </w:p>
    <w:p>
      <w:pPr/>
      <w:r>
        <w:t>Das Convective Condensation Level (CCL) wird als Schnittpunkt der vom Boden aufsteigenden Isohume mit der Umgebungstemperatur bestimmt. Die Auslösetemperatur (TA) ergibt sich aus dem Rückrechnen der Trockenadiabate vom CCL auf Bodenniveau.</w:t>
      </w:r>
    </w:p>
    <w:p>
      <w:pPr>
        <w:pStyle w:val="Heading2"/>
        <w:jc w:val="left"/>
      </w:pPr>
      <w:r>
        <w:t>3.5  MU-CAPE und Effective Inflow Layer</w:t>
      </w:r>
    </w:p>
    <w:p>
      <w:pPr/>
      <w:r>
        <w:t>Der MU-Parcel wird als das Level mit der höchsten äquivalentpotentiellen Temperatur (Bolton 1980) in den untersten 300 hPa identifiziert. Der Effective Inflow Layer (EIL) umfasst die Schicht, in der ein Parcel CAPE ≥ 100 J/kg und CIN ≥ −250 J/kg aufweist (Thompson et al. 2004). Er dient als Referenzschicht für den Bunkers-2014-Sturmzug.</w:t>
      </w:r>
    </w:p>
    <w:p>
      <w:r>
        <w:br w:type="page"/>
      </w:r>
    </w:p>
    <w:p>
      <w:pPr>
        <w:pStyle w:val="Heading1"/>
        <w:jc w:val="left"/>
      </w:pPr>
      <w:r>
        <w:t>4  Wind, Scherung und Storm-Relative Helicity</w:t>
      </w:r>
    </w:p>
    <w:p>
      <w:pPr>
        <w:pStyle w:val="Heading2"/>
        <w:jc w:val="left"/>
      </w:pPr>
      <w:r>
        <w:t>4.1  Windkomponenten</w:t>
      </w:r>
    </w:p>
    <w:p>
      <w:pPr/>
      <w:r>
        <w:t>Meteorologische Konvention (Wind kommt aus der angegebenen Richtung):</w:t>
      </w:r>
    </w:p>
    <w:p>
      <w:pPr>
        <w:jc w:val="center"/>
      </w:pPr>
      <w:r>
        <w:rPr>
          <w:rFonts w:ascii="Courier New" w:hAnsi="Courier New"/>
          <w:i/>
          <w:sz w:val="20"/>
        </w:rPr>
        <w:t>u = −v_spd · sin(φ),   v = −v_spd · cos(φ)</w:t>
      </w:r>
    </w:p>
    <w:p>
      <w:pPr/>
      <w:r>
        <w:t>mit φ = Windrichtung in Radiant, v_spd = Windgeschwindigkeit in m/s.</w:t>
      </w:r>
    </w:p>
    <w:p>
      <w:pPr>
        <w:pStyle w:val="Heading2"/>
        <w:jc w:val="left"/>
      </w:pPr>
      <w:r>
        <w:t>4.2  Bulk Shear</w:t>
      </w:r>
    </w:p>
    <w:p>
      <w:pPr/>
      <w:r>
        <w:t>Der Bulk Shear wird als Betrag der Vektordifferenz zwischen Ober- und Untergrenze berechnet und in Knoten ausgegeben. Berechnet für 0–1 km (bodennahe Scherung, Tornadogefahr) und 0–6 km (Superzellen-Schwelle).</w:t>
      </w:r>
    </w:p>
    <w:p>
      <w:pPr>
        <w:pStyle w:val="Heading2"/>
        <w:jc w:val="left"/>
      </w:pPr>
      <w:r>
        <w:t>4.3  Sturmzug nach Bunkers 2014 (Effective Layer)</w:t>
      </w:r>
    </w:p>
    <w:p>
      <w:pPr/>
      <w:r>
        <w:t>Der Sturmzug wird nach der Effective-Layer-Methode von Bunkers et al. (2014) berechnet. Der mittlere Wind wird dichtegwichtet (ρ = p / (R_d · T_v)) von der EIL-Basis bis 65 % der MU-EL-Höhe integriert. Der Schervektor bezieht sich auf dieselbe Schicht. Ist kein EIL oder MU-EL verfügbar, wird auf das 0–6-km-Fenster (Bunkers 2000) zurückgegriffen.</w:t>
      </w:r>
    </w:p>
    <w:p>
      <w:pPr>
        <w:jc w:val="center"/>
      </w:pPr>
      <w:r>
        <w:rPr>
          <w:rFonts w:ascii="Courier New" w:hAnsi="Courier New"/>
          <w:i/>
          <w:sz w:val="20"/>
        </w:rPr>
        <w:t>C_rm = V_mean ± 7.5 m/s · ê_⊥</w:t>
      </w:r>
    </w:p>
    <w:p>
      <w:pPr/>
      <w:r>
        <w:t>wobei ê_⊥ der Einheitsvektor senkrecht zur Schere ist (Rechtsmover: +, Linksmover: −).</w:t>
      </w:r>
    </w:p>
    <w:p>
      <w:pPr>
        <w:pStyle w:val="Heading2"/>
        <w:jc w:val="left"/>
      </w:pPr>
      <w:r>
        <w:t>4.4  Storm-Relative Helicity (SRH)</w:t>
      </w:r>
    </w:p>
    <w:p>
      <w:pPr/>
      <w:r>
        <w:t>Die SRH wird als Fläche der sturm-relativen Hodographie im 0–3-km-Layer integriert (Davies-Jones 1990):</w:t>
      </w:r>
    </w:p>
    <w:p>
      <w:pPr>
        <w:jc w:val="center"/>
      </w:pPr>
      <w:r>
        <w:rPr>
          <w:rFonts w:ascii="Courier New" w:hAnsi="Courier New"/>
          <w:i/>
          <w:sz w:val="20"/>
        </w:rPr>
        <w:t>SRH = Σ_i  (C_u − u_i) · (v_{i+1} − v_i) − (C_v − v_i) · (u_{i+1} − u_i)</w:t>
      </w:r>
    </w:p>
    <w:p>
      <w:pPr/>
      <w:r>
        <w:t>Positive Werte entsprechen zyklonaler (veering) Rotation auf der Nordhalbkugel. Schwellwerte: &gt; 150 m²/s² Superzellen möglich, &gt; 300 m²/s² erhöhte Tornadogefahr.</w:t>
      </w:r>
    </w:p>
    <w:p>
      <w:pPr>
        <w:pStyle w:val="Heading2"/>
        <w:jc w:val="left"/>
      </w:pPr>
      <w:r>
        <w:t>4.5  Warmluft- und Kaltluftadvektion (WAA/KAA)</w:t>
      </w:r>
    </w:p>
    <w:p>
      <w:pPr/>
      <w:r>
        <w:t>Jeder angezeigte Windbarb wird entsprechend der dominanten Windrichtungsänderung in der von ihm repräsentierten Höhenschicht eingefärbt (Two-Pass-Verfahren): Alle übersprungenen Level zwischen zwei angezeigten Barbs werden einbezogen, der maximale Betrag der Richtungsänderung bestimmt die Farbe.</w:t>
      </w:r>
    </w:p>
    <w:tbl>
      <w:tblPr>
        <w:tblStyle w:val="TableGrid"/>
        <w:tblW w:type="auto" w:w="0"/>
        <w:tblLook w:firstColumn="1" w:firstRow="1" w:lastColumn="0" w:lastRow="0" w:noHBand="0" w:noVBand="1" w:val="04A0"/>
      </w:tblPr>
      <w:tblGrid>
        <w:gridCol w:w="4561"/>
        <w:gridCol w:w="4561"/>
      </w:tblGrid>
      <w:tr>
        <w:tc>
          <w:tcPr>
            <w:tcW w:type="dxa" w:w="4561"/>
          </w:tcPr>
          <w:p>
            <w:r>
              <w:rPr>
                <w:b/>
              </w:rPr>
              <w:t>Bedingung</w:t>
            </w:r>
          </w:p>
        </w:tc>
        <w:tc>
          <w:tcPr>
            <w:tcW w:type="dxa" w:w="4561"/>
          </w:tcPr>
          <w:p>
            <w:r>
              <w:rPr>
                <w:b/>
              </w:rPr>
              <w:t>Interpretation</w:t>
            </w:r>
          </w:p>
        </w:tc>
      </w:tr>
      <w:tr>
        <w:tc>
          <w:tcPr>
            <w:tcW w:type="dxa" w:w="4561"/>
          </w:tcPr>
          <w:p>
            <w:r>
              <w:t>Veering (Δφ &gt; +15°)</w:t>
            </w:r>
          </w:p>
        </w:tc>
        <w:tc>
          <w:tcPr>
            <w:tcW w:type="dxa" w:w="4561"/>
          </w:tcPr>
          <w:p>
            <w:r>
              <w:t>Rot – Warmluftadvektion (WAA)</w:t>
            </w:r>
          </w:p>
        </w:tc>
      </w:tr>
      <w:tr>
        <w:tc>
          <w:tcPr>
            <w:tcW w:type="dxa" w:w="4561"/>
          </w:tcPr>
          <w:p>
            <w:r>
              <w:t>Backing  (Δφ &lt; −15°)</w:t>
            </w:r>
          </w:p>
        </w:tc>
        <w:tc>
          <w:tcPr>
            <w:tcW w:type="dxa" w:w="4561"/>
          </w:tcPr>
          <w:p>
            <w:r>
              <w:t>Blau – Kaltluftadvektion (KAA)</w:t>
            </w:r>
          </w:p>
        </w:tc>
      </w:tr>
      <w:tr>
        <w:tc>
          <w:tcPr>
            <w:tcW w:type="dxa" w:w="4561"/>
          </w:tcPr>
          <w:p>
            <w:r>
              <w:t>|Δφ| ≤ 15° oder v &lt; 5 kt</w:t>
            </w:r>
          </w:p>
        </w:tc>
        <w:tc>
          <w:tcPr>
            <w:tcW w:type="dxa" w:w="4561"/>
          </w:tcPr>
          <w:p>
            <w:r>
              <w:t>Neutral</w:t>
            </w:r>
          </w:p>
        </w:tc>
      </w:tr>
    </w:tbl>
    <w:p/>
    <w:p>
      <w:r>
        <w:br w:type="page"/>
      </w:r>
    </w:p>
    <w:p>
      <w:pPr>
        <w:pStyle w:val="Heading1"/>
        <w:jc w:val="left"/>
      </w:pPr>
      <w:r>
        <w:t>5  Tropopause</w:t>
      </w:r>
    </w:p>
    <w:p>
      <w:pPr/>
      <w:r>
        <w:t>Die Tropopause wird nach der WMO-Definition (WMO-No. 8, 2018) bestimmt:</w:t>
      </w:r>
    </w:p>
    <w:p>
      <w:pPr>
        <w:pStyle w:val="ListBullet"/>
      </w:pPr>
      <w:r>
        <w:t>Das unterste Niveau zwischen 350 und 100 hPa, bei dem der Temperaturgradient auf ≤ 2 K/km fällt,</w:t>
      </w:r>
    </w:p>
    <w:p>
      <w:pPr>
        <w:pStyle w:val="ListBullet"/>
      </w:pPr>
      <w:r>
        <w:t>und dieser Gradient zwischen diesem Niveau und allen innerhalb der nächsten 2 km darüber liegenden Niveaus im Mittel ebenfalls ≤ 2 K/km beträgt.</w:t>
      </w:r>
    </w:p>
    <w:p>
      <w:pPr/>
      <w:r>
        <w:t>Die Persistenzbedingung wird durch eine innere Schleife über alle Level innerhalb des 2-km-Fensters sichergestellt. Der Gradient wird als (T_0 − T_j) / (z_j − z_0) · 1000 in K/km berechnet.</w:t>
      </w:r>
    </w:p>
    <w:p>
      <w:pPr>
        <w:pStyle w:val="Heading1"/>
        <w:jc w:val="left"/>
      </w:pPr>
      <w:r>
        <w:t>6  Niederschlagsphase</w:t>
      </w:r>
    </w:p>
    <w:p>
      <w:pPr>
        <w:pStyle w:val="Heading2"/>
        <w:jc w:val="left"/>
      </w:pPr>
      <w:r>
        <w:t>6.1  Bourgouin-Methode (1992)</w:t>
      </w:r>
    </w:p>
    <w:p>
      <w:pPr/>
      <w:r>
        <w:t>Die Niederschlagsphase wird nach Bourgouin (1992) durch Integration der Energie­zonen in der Atmosphärensäule bestimmt. Als Maß dient die Schmelz- bzw. Gefrierenergie:</w:t>
      </w:r>
    </w:p>
    <w:p>
      <w:pPr>
        <w:jc w:val="center"/>
      </w:pPr>
      <w:r>
        <w:rPr>
          <w:rFonts w:ascii="Courier New" w:hAnsi="Courier New"/>
          <w:i/>
          <w:sz w:val="20"/>
        </w:rPr>
        <w:t>E = c_p · ∫ T · d(ln p)  ≈  c_p · Σ (T_i + T_{i+1})/2 · ln(p_i / p_{i+1})</w:t>
      </w:r>
    </w:p>
    <w:p>
      <w:pPr/>
      <w:r>
        <w:t>mit c_p = 1004 J/(kg·K). Positive Energie (T &gt; 0 °C) fördert das Schmelzen (Warmzone), negative Energie (T &lt; 0 °C) das Wiedergefrieren (Kaltzone). Die Entscheidung über die Niederschlagsphase folgt dem Bourgouin-Entscheidungsbaum (Anzahl und Reihenfolge der Warm-/Kaltzonen, Energiebilanz):</w:t>
      </w:r>
    </w:p>
    <w:tbl>
      <w:tblPr>
        <w:tblStyle w:val="TableGrid"/>
        <w:tblW w:type="auto" w:w="0"/>
        <w:tblLook w:firstColumn="1" w:firstRow="1" w:lastColumn="0" w:lastRow="0" w:noHBand="0" w:noVBand="1" w:val="04A0"/>
      </w:tblPr>
      <w:tblGrid>
        <w:gridCol w:w="4561"/>
        <w:gridCol w:w="4561"/>
      </w:tblGrid>
      <w:tr>
        <w:tc>
          <w:tcPr>
            <w:tcW w:type="dxa" w:w="4561"/>
          </w:tcPr>
          <w:p>
            <w:r>
              <w:rPr>
                <w:b/>
              </w:rPr>
              <w:t>Bedingung</w:t>
            </w:r>
          </w:p>
        </w:tc>
        <w:tc>
          <w:tcPr>
            <w:tcW w:type="dxa" w:w="4561"/>
          </w:tcPr>
          <w:p>
            <w:r>
              <w:rPr>
                <w:b/>
              </w:rPr>
              <w:t>Phase</w:t>
            </w:r>
          </w:p>
        </w:tc>
      </w:tr>
      <w:tr>
        <w:tc>
          <w:tcPr>
            <w:tcW w:type="dxa" w:w="4561"/>
          </w:tcPr>
          <w:p>
            <w:r>
              <w:t>Keine Warmzone</w:t>
            </w:r>
          </w:p>
        </w:tc>
        <w:tc>
          <w:tcPr>
            <w:tcW w:type="dxa" w:w="4561"/>
          </w:tcPr>
          <w:p>
            <w:r>
              <w:t>Schnee (SN)</w:t>
            </w:r>
          </w:p>
        </w:tc>
      </w:tr>
      <w:tr>
        <w:tc>
          <w:tcPr>
            <w:tcW w:type="dxa" w:w="4561"/>
          </w:tcPr>
          <w:p>
            <w:r>
              <w:t>Nur Warmzone, E_warm &lt; 5.6 J/kg</w:t>
            </w:r>
          </w:p>
        </w:tc>
        <w:tc>
          <w:tcPr>
            <w:tcW w:type="dxa" w:w="4561"/>
          </w:tcPr>
          <w:p>
            <w:r>
              <w:t>Schnee (SN)</w:t>
            </w:r>
          </w:p>
        </w:tc>
      </w:tr>
      <w:tr>
        <w:tc>
          <w:tcPr>
            <w:tcW w:type="dxa" w:w="4561"/>
          </w:tcPr>
          <w:p>
            <w:r>
              <w:t>Nur Warmzone, E_warm &gt; 13.2 J/kg</w:t>
            </w:r>
          </w:p>
        </w:tc>
        <w:tc>
          <w:tcPr>
            <w:tcW w:type="dxa" w:w="4561"/>
          </w:tcPr>
          <w:p>
            <w:r>
              <w:t>Regen (RA)</w:t>
            </w:r>
          </w:p>
        </w:tc>
      </w:tr>
      <w:tr>
        <w:tc>
          <w:tcPr>
            <w:tcW w:type="dxa" w:w="4561"/>
          </w:tcPr>
          <w:p>
            <w:r>
              <w:t>Nur Warmzone (dazwischen)</w:t>
            </w:r>
          </w:p>
        </w:tc>
        <w:tc>
          <w:tcPr>
            <w:tcW w:type="dxa" w:w="4561"/>
          </w:tcPr>
          <w:p>
            <w:r>
              <w:t>Schneeregen (RASN)</w:t>
            </w:r>
          </w:p>
        </w:tc>
      </w:tr>
      <w:tr>
        <w:tc>
          <w:tcPr>
            <w:tcW w:type="dxa" w:w="4561"/>
          </w:tcPr>
          <w:p>
            <w:r>
              <w:t>Warm + Kaltzone, E_kalt &gt; E_warm</w:t>
            </w:r>
          </w:p>
        </w:tc>
        <w:tc>
          <w:tcPr>
            <w:tcW w:type="dxa" w:w="4561"/>
          </w:tcPr>
          <w:p>
            <w:r>
              <w:t>Gefrierender Regen / Eiskörner (FZRA/PL)</w:t>
            </w:r>
          </w:p>
        </w:tc>
      </w:tr>
      <w:tr>
        <w:tc>
          <w:tcPr>
            <w:tcW w:type="dxa" w:w="4561"/>
          </w:tcPr>
          <w:p>
            <w:r>
              <w:t>Warm + Kaltzone, E_kalt ≤ E_warm/2</w:t>
            </w:r>
          </w:p>
        </w:tc>
        <w:tc>
          <w:tcPr>
            <w:tcW w:type="dxa" w:w="4561"/>
          </w:tcPr>
          <w:p>
            <w:r>
              <w:t>Regen (RA)</w:t>
            </w:r>
          </w:p>
        </w:tc>
      </w:tr>
      <w:tr>
        <w:tc>
          <w:tcPr>
            <w:tcW w:type="dxa" w:w="4561"/>
          </w:tcPr>
          <w:p>
            <w:r>
              <w:t>Warm + Kaltzone (dazwischen)</w:t>
            </w:r>
          </w:p>
        </w:tc>
        <w:tc>
          <w:tcPr>
            <w:tcW w:type="dxa" w:w="4561"/>
          </w:tcPr>
          <w:p>
            <w:r>
              <w:t>Schneeregen (RASN)</w:t>
            </w:r>
          </w:p>
        </w:tc>
      </w:tr>
    </w:tbl>
    <w:p/>
    <w:p>
      <w:pPr>
        <w:pStyle w:val="Heading2"/>
        <w:jc w:val="left"/>
      </w:pPr>
      <w:r>
        <w:t>6.2  DWD-Schneefallgrenze</w:t>
      </w:r>
    </w:p>
    <w:p>
      <w:pPr/>
      <w:r>
        <w:t>Die Schneefallgrenze (SFL) wird zusätzlich nach dem DWD-Kriterium bestimmt: Ausgehend vom untersten Niveau mit T &lt; 0 °C wird abwärts integriert, bis die akkumulierte positive Wärmeenergie einen Schwellwert von E₀ = 24 J/kg überschreitet. Dieses Niveau entspricht der Höhe, ab der Schneeflocken vollständig schmelzen. Liegt die SFL ≤ 0 m, wird „SFC" ausgegeben.</w:t>
      </w:r>
    </w:p>
    <w:p>
      <w:pPr/>
      <w:r>
        <w:t>Eine vereinfachte Schneefallgrenze nach der klassischen Methode (850-hPa-Niveau mit −2-K-Korrektur und mittlerem Temperaturgradienten) wird ergänzend angegeben.</w:t>
      </w:r>
    </w:p>
    <w:p>
      <w:r>
        <w:br w:type="page"/>
      </w:r>
    </w:p>
    <w:p>
      <w:pPr>
        <w:pStyle w:val="Heading1"/>
        <w:jc w:val="left"/>
      </w:pPr>
      <w:r>
        <w:t>7  Kondensstreifen (Schmidt-Appleman)</w:t>
      </w:r>
    </w:p>
    <w:p>
      <w:pPr/>
      <w:r>
        <w:t>Die Kondensstreifen-Diagnose basiert auf dem Schmidt-Appleman-Kriterium. Das Verfahren scannt das Sounding in 5-hPa-Schritten und klassifiziert jedes Niveau:</w:t>
      </w:r>
    </w:p>
    <w:tbl>
      <w:tblPr>
        <w:tblStyle w:val="TableGrid"/>
        <w:tblW w:type="auto" w:w="0"/>
        <w:tblLook w:firstColumn="1" w:firstRow="1" w:lastColumn="0" w:lastRow="0" w:noHBand="0" w:noVBand="1" w:val="04A0"/>
      </w:tblPr>
      <w:tblGrid>
        <w:gridCol w:w="4561"/>
        <w:gridCol w:w="4561"/>
      </w:tblGrid>
      <w:tr>
        <w:tc>
          <w:tcPr>
            <w:tcW w:type="dxa" w:w="4561"/>
          </w:tcPr>
          <w:p>
            <w:r>
              <w:rPr>
                <w:b/>
              </w:rPr>
              <w:t>Kategorie</w:t>
            </w:r>
          </w:p>
        </w:tc>
        <w:tc>
          <w:tcPr>
            <w:tcW w:type="dxa" w:w="4561"/>
          </w:tcPr>
          <w:p>
            <w:r>
              <w:rPr>
                <w:b/>
              </w:rPr>
              <w:t>Beschreibung</w:t>
            </w:r>
          </w:p>
        </w:tc>
      </w:tr>
      <w:tr>
        <w:tc>
          <w:tcPr>
            <w:tcW w:type="dxa" w:w="4561"/>
          </w:tcPr>
          <w:p>
            <w:r>
              <w:t>0</w:t>
            </w:r>
          </w:p>
        </w:tc>
        <w:tc>
          <w:tcPr>
            <w:tcW w:type="dxa" w:w="4561"/>
          </w:tcPr>
          <w:p>
            <w:r>
              <w:t>Kein Kondensstreifen</w:t>
            </w:r>
          </w:p>
        </w:tc>
      </w:tr>
      <w:tr>
        <w:tc>
          <w:tcPr>
            <w:tcW w:type="dxa" w:w="4561"/>
          </w:tcPr>
          <w:p>
            <w:r>
              <w:t>1</w:t>
            </w:r>
          </w:p>
        </w:tc>
        <w:tc>
          <w:tcPr>
            <w:tcW w:type="dxa" w:w="4561"/>
          </w:tcPr>
          <w:p>
            <w:r>
              <w:t>Kurzzeitige Kondensstreifen (nicht persistent)</w:t>
            </w:r>
          </w:p>
        </w:tc>
      </w:tr>
      <w:tr>
        <w:tc>
          <w:tcPr>
            <w:tcW w:type="dxa" w:w="4561"/>
          </w:tcPr>
          <w:p>
            <w:r>
              <w:t>2</w:t>
            </w:r>
          </w:p>
        </w:tc>
        <w:tc>
          <w:tcPr>
            <w:tcW w:type="dxa" w:w="4561"/>
          </w:tcPr>
          <w:p>
            <w:r>
              <w:t>Persistente Kondensstreifen (Eis-übersättigt)</w:t>
            </w:r>
          </w:p>
        </w:tc>
      </w:tr>
    </w:tbl>
    <w:p/>
    <w:p>
      <w:pPr/>
      <w:r>
        <w:t>Aufeinanderfolgende Niveau mit gleicher Kategorie werden zu Höhenbändern zusammengefasst und als FL-Bereich (Flight Level) ausgegeben. Übergänge zwischen Kategorien werden auf halber Strecke zwischen den Niveaus interpoliert. Die Druckangaben werden in Flugflächen umgerechnet (1 FL = 100 ft).</w:t>
      </w:r>
    </w:p>
    <w:p>
      <w:pPr>
        <w:pStyle w:val="Heading1"/>
        <w:jc w:val="left"/>
      </w:pPr>
      <w:r>
        <w:t>8  Schichtwolkenerkennung</w:t>
      </w:r>
    </w:p>
    <w:p>
      <w:pPr/>
      <w:r>
        <w:t xml:space="preserve">Standardmäßig (Checkbox „Wolken: Modell-Wasser/-Eis“ aktiv) nutzt der Viewer die Modell-Diagnosen: bevorzugt den Bedeckungsgrad je Level (cloud_cover, clc), sonst einen aus Wolkenwasser und -eis abgeleiteten Bedeckungsgrad f = 1 − exp(−(q_w/s_w + q_i/s_i)) mit getrennten Skalen für Wasser (s_w = 2·10⁻⁵ kg/kg) und Eis (s_i = 5·10⁻⁶ kg/kg). Liefert die Datenquelle keine dieser Größen (z. B. Messungen, Druckflächen), wird automatisch auf die RH-Heuristik zurückgefallen, die im Folgenden beschrieben ist.</w:t>
      </w:r>
    </w:p>
    <w:p>
      <w:pPr/>
      <w:r>
        <w:t xml:space="preserve">Die RH-Heuristik basiert auf der effektiven relativen Feuchte unter Berücksichtigung der Eisphase (mixed-phase RH). Der Sättigungsdampfdruck wird entsprechend dem Mischungsphasenschema berechnet:</w:t>
      </w:r>
    </w:p>
    <w:p>
      <w:pPr>
        <w:jc w:val="center"/>
      </w:pPr>
      <w:r>
        <w:rPr>
          <w:rFonts w:ascii="Courier New" w:hAnsi="Courier New"/>
          <w:i/>
          <w:sz w:val="20"/>
        </w:rPr>
        <w:t>RH_eff = e(T_d) / e_s,mix(T)</w:t>
      </w:r>
    </w:p>
    <w:p>
      <w:pPr/>
      <w:r>
        <w:t>Klassifikation nach Oktas:</w:t>
      </w:r>
    </w:p>
    <w:tbl>
      <w:tblPr>
        <w:tblStyle w:val="TableGrid"/>
        <w:tblW w:type="auto" w:w="0"/>
        <w:tblLook w:firstColumn="1" w:firstRow="1" w:lastColumn="0" w:lastRow="0" w:noHBand="0" w:noVBand="1" w:val="04A0"/>
      </w:tblPr>
      <w:tblGrid>
        <w:gridCol w:w="4561"/>
        <w:gridCol w:w="4561"/>
      </w:tblGrid>
      <w:tr>
        <w:tc>
          <w:tcPr>
            <w:tcW w:type="dxa" w:w="4561"/>
          </w:tcPr>
          <w:p>
            <w:r>
              <w:rPr>
                <w:b/>
              </w:rPr>
              <w:t>Effektive RH</w:t>
            </w:r>
          </w:p>
        </w:tc>
        <w:tc>
          <w:tcPr>
            <w:tcW w:type="dxa" w:w="4561"/>
          </w:tcPr>
          <w:p>
            <w:r>
              <w:rPr>
                <w:b/>
              </w:rPr>
              <w:t>Bewölkungsgrad</w:t>
            </w:r>
          </w:p>
        </w:tc>
      </w:tr>
      <w:tr>
        <w:tc>
          <w:tcPr>
            <w:tcW w:type="dxa" w:w="4561"/>
          </w:tcPr>
          <w:p>
            <w:r>
              <w:t>RH_eff &lt; 65 %</w:t>
            </w:r>
          </w:p>
        </w:tc>
        <w:tc>
          <w:tcPr>
            <w:tcW w:type="dxa" w:w="4561"/>
          </w:tcPr>
          <w:p>
            <w:r>
              <w:t>Wolkenfrei</w:t>
            </w:r>
          </w:p>
        </w:tc>
      </w:tr>
      <w:tr>
        <w:tc>
          <w:tcPr>
            <w:tcW w:type="dxa" w:w="4561"/>
          </w:tcPr>
          <w:p>
            <w:r>
              <w:t>65–84 %</w:t>
            </w:r>
          </w:p>
        </w:tc>
        <w:tc>
          <w:tcPr>
            <w:tcW w:type="dxa" w:w="4561"/>
          </w:tcPr>
          <w:p>
            <w:r>
              <w:t>SCT (vereinzelt)</w:t>
            </w:r>
          </w:p>
        </w:tc>
      </w:tr>
      <w:tr>
        <w:tc>
          <w:tcPr>
            <w:tcW w:type="dxa" w:w="4561"/>
          </w:tcPr>
          <w:p>
            <w:r>
              <w:t>85–99 %</w:t>
            </w:r>
          </w:p>
        </w:tc>
        <w:tc>
          <w:tcPr>
            <w:tcW w:type="dxa" w:w="4561"/>
          </w:tcPr>
          <w:p>
            <w:r>
              <w:t>BKN (aufgelockert)</w:t>
            </w:r>
          </w:p>
        </w:tc>
      </w:tr>
      <w:tr>
        <w:tc>
          <w:tcPr>
            <w:tcW w:type="dxa" w:w="4561"/>
          </w:tcPr>
          <w:p>
            <w:r>
              <w:t>≥ 100 %</w:t>
            </w:r>
          </w:p>
        </w:tc>
        <w:tc>
          <w:tcPr>
            <w:tcW w:type="dxa" w:w="4561"/>
          </w:tcPr>
          <w:p>
            <w:r>
              <w:t>OVC (bedeckt)</w:t>
            </w:r>
          </w:p>
        </w:tc>
      </w:tr>
    </w:tbl>
    <w:p/>
    <w:p>
      <w:pPr/>
      <w:r>
        <w:t>Die Wolkensäule wird als horizontaler Balken links der Temperaturkurve dargestellt, farbabgestuft nach Bedeckungsgrad. Optional kann die Wolkendiagnose als farbige Hinterlegung im Diagramm eingeblendet werden.</w:t>
      </w:r>
    </w:p>
    <w:p>
      <w:r>
        <w:br w:type="page"/>
      </w:r>
    </w:p>
    <w:p>
      <w:pPr>
        <w:pStyle w:val="Heading1"/>
        <w:jc w:val="left"/>
      </w:pPr>
      <w:r>
        <w:t>9  Hodograph</w:t>
      </w:r>
    </w:p>
    <w:p>
      <w:pPr/>
      <w:r>
        <w:t>Der Hodograph zeigt den Wind als Vektorpfad im u-v-Raum, farbcodiert nach Höhe. Er wird als optionales Overlay oben rechts im Diagramm eingeblendet (Checkbox bei SRH).</w:t>
      </w:r>
    </w:p>
    <w:tbl>
      <w:tblPr>
        <w:tblStyle w:val="TableGrid"/>
        <w:tblW w:type="auto" w:w="0"/>
        <w:tblLook w:firstColumn="1" w:firstRow="1" w:lastColumn="0" w:lastRow="0" w:noHBand="0" w:noVBand="1" w:val="04A0"/>
      </w:tblPr>
      <w:tblGrid>
        <w:gridCol w:w="4561"/>
        <w:gridCol w:w="4561"/>
      </w:tblGrid>
      <w:tr>
        <w:tc>
          <w:tcPr>
            <w:tcW w:type="dxa" w:w="4561"/>
          </w:tcPr>
          <w:p>
            <w:r>
              <w:rPr>
                <w:b/>
              </w:rPr>
              <w:t>Höhenschicht</w:t>
            </w:r>
          </w:p>
        </w:tc>
        <w:tc>
          <w:tcPr>
            <w:tcW w:type="dxa" w:w="4561"/>
          </w:tcPr>
          <w:p>
            <w:r>
              <w:rPr>
                <w:b/>
              </w:rPr>
              <w:t>Farbe / Bedeutung</w:t>
            </w:r>
          </w:p>
        </w:tc>
      </w:tr>
      <w:tr>
        <w:tc>
          <w:tcPr>
            <w:tcW w:type="dxa" w:w="4561"/>
          </w:tcPr>
          <w:p>
            <w:r>
              <w:t>0–1 km</w:t>
            </w:r>
          </w:p>
        </w:tc>
        <w:tc>
          <w:tcPr>
            <w:tcW w:type="dxa" w:w="4561"/>
          </w:tcPr>
          <w:p>
            <w:r>
              <w:t>Rot    – bodennahe Scherungsschicht</w:t>
            </w:r>
          </w:p>
        </w:tc>
      </w:tr>
      <w:tr>
        <w:tc>
          <w:tcPr>
            <w:tcW w:type="dxa" w:w="4561"/>
          </w:tcPr>
          <w:p>
            <w:r>
              <w:t>1–3 km</w:t>
            </w:r>
          </w:p>
        </w:tc>
        <w:tc>
          <w:tcPr>
            <w:tcW w:type="dxa" w:w="4561"/>
          </w:tcPr>
          <w:p>
            <w:r>
              <w:t>Orange – SRH-relevante Schicht</w:t>
            </w:r>
          </w:p>
        </w:tc>
      </w:tr>
      <w:tr>
        <w:tc>
          <w:tcPr>
            <w:tcW w:type="dxa" w:w="4561"/>
          </w:tcPr>
          <w:p>
            <w:r>
              <w:t>3–6 km</w:t>
            </w:r>
          </w:p>
        </w:tc>
        <w:tc>
          <w:tcPr>
            <w:tcW w:type="dxa" w:w="4561"/>
          </w:tcPr>
          <w:p>
            <w:r>
              <w:t>Grün   – Sturmzug-Referenzschicht</w:t>
            </w:r>
          </w:p>
        </w:tc>
      </w:tr>
      <w:tr>
        <w:tc>
          <w:tcPr>
            <w:tcW w:type="dxa" w:w="4561"/>
          </w:tcPr>
          <w:p>
            <w:r>
              <w:t>&gt;6 km</w:t>
            </w:r>
          </w:p>
        </w:tc>
        <w:tc>
          <w:tcPr>
            <w:tcW w:type="dxa" w:w="4561"/>
          </w:tcPr>
          <w:p>
            <w:r>
              <w:t>Grau</w:t>
            </w:r>
          </w:p>
        </w:tc>
      </w:tr>
    </w:tbl>
    <w:p/>
    <w:p>
      <w:pPr/>
      <w:r>
        <w:t>Konzentrische Ringe markieren 20, 40 und 60 kt. Höhenmarken bei 1, 3 und 6 km sind als gefüllte Punkte eingezeichnet. Der Bunkers-Rechtsmover (RM) ist als weißes Kreuz markiert. Das Overlay kann durch Klick auf das ⤢-Symbol vergrößert werden.</w:t>
      </w:r>
    </w:p>
    <w:p>
      <w:pPr>
        <w:pStyle w:val="Heading1"/>
        <w:jc w:val="left"/>
      </w:pPr>
      <w:r>
        <w:t>10  Labilitätsindizes</w:t>
      </w:r>
    </w:p>
    <w:p>
      <w:pPr/>
      <w:r>
        <w:t>Folgende Indizes werden berechnet und farblich bewertet:</w:t>
      </w:r>
    </w:p>
    <w:tbl>
      <w:tblPr>
        <w:tblStyle w:val="TableGrid"/>
        <w:tblW w:type="auto" w:w="0"/>
        <w:tblLook w:firstColumn="1" w:firstRow="1" w:lastColumn="0" w:lastRow="0" w:noHBand="0" w:noVBand="1" w:val="04A0"/>
      </w:tblPr>
      <w:tblGrid>
        <w:gridCol w:w="4561"/>
        <w:gridCol w:w="4561"/>
      </w:tblGrid>
      <w:tr>
        <w:tc>
          <w:tcPr>
            <w:tcW w:type="dxa" w:w="4561"/>
          </w:tcPr>
          <w:p>
            <w:r>
              <w:rPr>
                <w:b/>
              </w:rPr>
              <w:t>Index</w:t>
            </w:r>
          </w:p>
        </w:tc>
        <w:tc>
          <w:tcPr>
            <w:tcW w:type="dxa" w:w="4561"/>
          </w:tcPr>
          <w:p>
            <w:r>
              <w:rPr>
                <w:b/>
              </w:rPr>
              <w:t>Definition</w:t>
            </w:r>
          </w:p>
        </w:tc>
      </w:tr>
      <w:tr>
        <w:tc>
          <w:tcPr>
            <w:tcW w:type="dxa" w:w="4561"/>
          </w:tcPr>
          <w:p>
            <w:r>
              <w:t>CAPE (LFC)</w:t>
            </w:r>
          </w:p>
        </w:tc>
        <w:tc>
          <w:tcPr>
            <w:tcW w:type="dxa" w:w="4561"/>
          </w:tcPr>
          <w:p>
            <w:r>
              <w:t>Convective Available Potential Energy, Mixed-Layer-Parcel</w:t>
            </w:r>
          </w:p>
        </w:tc>
      </w:tr>
      <w:tr>
        <w:tc>
          <w:tcPr>
            <w:tcW w:type="dxa" w:w="4561"/>
          </w:tcPr>
          <w:p>
            <w:r>
              <w:t>CAPE (CCL)</w:t>
            </w:r>
          </w:p>
        </w:tc>
        <w:tc>
          <w:tcPr>
            <w:tcW w:type="dxa" w:w="4561"/>
          </w:tcPr>
          <w:p>
            <w:r>
              <w:t>CAPE ab konvektivem Kondensationsniveau</w:t>
            </w:r>
          </w:p>
        </w:tc>
      </w:tr>
      <w:tr>
        <w:tc>
          <w:tcPr>
            <w:tcW w:type="dxa" w:w="4561"/>
          </w:tcPr>
          <w:p>
            <w:r>
              <w:t>MU-CAPE</w:t>
            </w:r>
          </w:p>
        </w:tc>
        <w:tc>
          <w:tcPr>
            <w:tcW w:type="dxa" w:w="4561"/>
          </w:tcPr>
          <w:p>
            <w:r>
              <w:t>Most-Unstable CAPE</w:t>
            </w:r>
          </w:p>
        </w:tc>
      </w:tr>
      <w:tr>
        <w:tc>
          <w:tcPr>
            <w:tcW w:type="dxa" w:w="4561"/>
          </w:tcPr>
          <w:p>
            <w:r>
              <w:t>CIN</w:t>
            </w:r>
          </w:p>
        </w:tc>
        <w:tc>
          <w:tcPr>
            <w:tcW w:type="dxa" w:w="4561"/>
          </w:tcPr>
          <w:p>
            <w:r>
              <w:t>Convective Inhibition [J/kg]</w:t>
            </w:r>
          </w:p>
        </w:tc>
      </w:tr>
      <w:tr>
        <w:tc>
          <w:tcPr>
            <w:tcW w:type="dxa" w:w="4561"/>
          </w:tcPr>
          <w:p>
            <w:r>
              <w:t>Lifted Index (LI)</w:t>
            </w:r>
          </w:p>
        </w:tc>
        <w:tc>
          <w:tcPr>
            <w:tcW w:type="dxa" w:w="4561"/>
          </w:tcPr>
          <w:p>
            <w:r>
              <w:t>T_env(500) − T_parcel(500) [K]</w:t>
            </w:r>
          </w:p>
        </w:tc>
      </w:tr>
      <w:tr>
        <w:tc>
          <w:tcPr>
            <w:tcW w:type="dxa" w:w="4561"/>
          </w:tcPr>
          <w:p>
            <w:r>
              <w:t>K-Index</w:t>
            </w:r>
          </w:p>
        </w:tc>
        <w:tc>
          <w:tcPr>
            <w:tcW w:type="dxa" w:w="4561"/>
          </w:tcPr>
          <w:p>
            <w:r>
              <w:t>T(850)−T(500) + T_d(850) − (T(700)−T_d(700))</w:t>
            </w:r>
          </w:p>
        </w:tc>
      </w:tr>
      <w:tr>
        <w:tc>
          <w:tcPr>
            <w:tcW w:type="dxa" w:w="4561"/>
          </w:tcPr>
          <w:p>
            <w:r>
              <w:t>Showalter-Index</w:t>
            </w:r>
          </w:p>
        </w:tc>
        <w:tc>
          <w:tcPr>
            <w:tcW w:type="dxa" w:w="4561"/>
          </w:tcPr>
          <w:p>
            <w:r>
              <w:t>Aufstieg eines 850-hPa-Parcels auf 500 hPa</w:t>
            </w:r>
          </w:p>
        </w:tc>
      </w:tr>
      <w:tr>
        <w:tc>
          <w:tcPr>
            <w:tcW w:type="dxa" w:w="4561"/>
          </w:tcPr>
          <w:p>
            <w:r>
              <w:t>Total Totals (TT)</w:t>
            </w:r>
          </w:p>
        </w:tc>
        <w:tc>
          <w:tcPr>
            <w:tcW w:type="dxa" w:w="4561"/>
          </w:tcPr>
          <w:p>
            <w:r>
              <w:t>VT + CT = T(850)+T_d(850) − 2·T(500)</w:t>
            </w:r>
          </w:p>
        </w:tc>
      </w:tr>
      <w:tr>
        <w:tc>
          <w:tcPr>
            <w:tcW w:type="dxa" w:w="4561"/>
          </w:tcPr>
          <w:p>
            <w:r>
              <w:t>KO-Index</w:t>
            </w:r>
          </w:p>
        </w:tc>
        <w:tc>
          <w:tcPr>
            <w:tcW w:type="dxa" w:w="4561"/>
          </w:tcPr>
          <w:p>
            <w:r>
              <w:t>(θ_e500 + θ_e700 − θ_e850 − θ_e1000) / 2</w:t>
            </w:r>
          </w:p>
        </w:tc>
      </w:tr>
      <w:tr>
        <w:tc>
          <w:tcPr>
            <w:tcW w:type="dxa" w:w="4561"/>
          </w:tcPr>
          <w:p>
            <w:r>
              <w:t>PPW</w:t>
            </w:r>
          </w:p>
        </w:tc>
        <w:tc>
          <w:tcPr>
            <w:tcW w:type="dxa" w:w="4561"/>
          </w:tcPr>
          <w:p>
            <w:r>
              <w:t>Precipitable Water SFC–400 hPa [mm]</w:t>
            </w:r>
          </w:p>
        </w:tc>
      </w:tr>
      <w:tr>
        <w:tc>
          <w:tcPr>
            <w:tcW w:type="dxa" w:w="4561"/>
          </w:tcPr>
          <w:p>
            <w:r>
              <w:t>SRH (0–3 km)</w:t>
            </w:r>
          </w:p>
        </w:tc>
        <w:tc>
          <w:tcPr>
            <w:tcW w:type="dxa" w:w="4561"/>
          </w:tcPr>
          <w:p>
            <w:r>
              <w:t>Storm-Relative Helicity [m²/s²], Bunkers 2014</w:t>
            </w:r>
          </w:p>
        </w:tc>
      </w:tr>
      <w:tr>
        <w:tc>
          <w:tcPr>
            <w:tcW w:type="dxa" w:w="4561"/>
          </w:tcPr>
          <w:p>
            <w:r>
              <w:t>Bulk Shear 0–6 km</w:t>
            </w:r>
          </w:p>
        </w:tc>
        <w:tc>
          <w:tcPr>
            <w:tcW w:type="dxa" w:w="4561"/>
          </w:tcPr>
          <w:p>
            <w:r>
              <w:t>Vektordifferenz [kt]</w:t>
            </w:r>
          </w:p>
        </w:tc>
      </w:tr>
      <w:tr>
        <w:tc>
          <w:tcPr>
            <w:tcW w:type="dxa" w:w="4561"/>
          </w:tcPr>
          <w:p>
            <w:r>
              <w:t>Bulk Shear 0–1 km</w:t>
            </w:r>
          </w:p>
        </w:tc>
        <w:tc>
          <w:tcPr>
            <w:tcW w:type="dxa" w:w="4561"/>
          </w:tcPr>
          <w:p>
            <w:r>
              <w:t>Vektordifferenz [kt]</w:t>
            </w:r>
          </w:p>
        </w:tc>
      </w:tr>
      <w:tr>
        <w:tc>
          <w:tcPr>
            <w:tcW w:type="dxa" w:w="4561"/>
          </w:tcPr>
          <w:p>
            <w:r>
              <w:t>Hagel (Moore/Pino)</w:t>
            </w:r>
          </w:p>
        </w:tc>
        <w:tc>
          <w:tcPr>
            <w:tcW w:type="dxa" w:w="4561"/>
          </w:tcPr>
          <w:p>
            <w:r>
              <w:t>Hagelkorngröße nach Moore &amp; Pino (1990) [mm]</w:t>
            </w:r>
          </w:p>
        </w:tc>
      </w:tr>
      <w:tr>
        <w:tc>
          <w:tcPr>
            <w:tcW w:type="dxa" w:w="4561"/>
          </w:tcPr>
          <w:p>
            <w:r>
              <w:t>Fröstl-Index</w:t>
            </w:r>
          </w:p>
        </w:tc>
        <w:tc>
          <w:tcPr>
            <w:tcW w:type="dxa" w:w="4561"/>
          </w:tcPr>
          <w:p>
            <w:r>
              <w:t>Gefrierindikator für Niederschlag</w:t>
            </w:r>
          </w:p>
        </w:tc>
      </w:tr>
      <w:tr>
        <w:tc>
          <w:tcPr>
            <w:tcW w:type="dxa" w:w="4561"/>
          </w:tcPr>
          <w:p>
            <w:r>
              <w:t xml:space="preserve">LPI (nur ICON-D2)</w:t>
            </w:r>
          </w:p>
        </w:tc>
        <w:tc>
          <w:tcPr>
            <w:tcW w:type="dxa" w:w="4561"/>
          </w:tcPr>
          <w:p>
            <w:r>
              <w:t xml:space="preserve">Lightning Potential Index nach Lynn &amp; Yair (2010), natives ICON-D2-Feld [J/kg]; &gt; 5 J/kg erhöhtes, &gt; 20 J/kg hohes Blitzpotential</w:t>
            </w:r>
          </w:p>
        </w:tc>
      </w:tr>
    </w:tbl>
    <w:p/>
    <w:p>
      <w:r>
        <w:br w:type="page"/>
      </w:r>
    </w:p>
    <w:p>
      <w:pPr>
        <w:pStyle w:val="Heading1"/>
        <w:jc w:val="left"/>
      </w:pPr>
      <w:r>
        <w:t>11  Bedienung</w:t>
      </w:r>
    </w:p>
    <w:p>
      <w:pPr>
        <w:pStyle w:val="Heading2"/>
        <w:jc w:val="left"/>
      </w:pPr>
      <w:r>
        <w:t>11.1  Daten laden</w:t>
      </w:r>
    </w:p>
    <w:p>
      <w:pPr/>
      <w:r>
        <w:t xml:space="preserve">Der Viewer startet leer. Einziger Einstiegspunkt ist der Button „＋ Daten laden“, der einen Dialog mit fünf Reitern öffnet:</w:t>
      </w:r>
    </w:p>
    <w:p>
      <w:pPr>
        <w:pStyle w:val="ListBullet"/>
      </w:pPr>
      <w:r>
        <w:t xml:space="preserve">DWD Opendata – alle vorberechneten Profile der vordefinierten Orte vom Server</w:t>
      </w:r>
    </w:p>
    <w:p>
      <w:pPr>
        <w:pStyle w:val="ListBullet"/>
      </w:pPr>
      <w:r>
        <w:t xml:space="preserve">Modelllevel / Druckflächen – Ort per Karte, Koordinaten oder Ortssuche, Live-Abruf von Open-Meteo; ein Alias wird per Reverse-Geocoding vorgeschlagen</w:t>
      </w:r>
    </w:p>
    <w:p>
      <w:pPr>
        <w:pStyle w:val="ListBullet"/>
      </w:pPr>
      <w:r>
        <w:t xml:space="preserve">Messung – Radiosondenaufstieg einer per Karte gewählten Station (Windy)</w:t>
      </w:r>
    </w:p>
    <w:p>
      <w:pPr>
        <w:pStyle w:val="ListBullet"/>
      </w:pPr>
      <w:r>
        <w:t xml:space="preserve">Datei – lokale JSON- oder ASCII-Datei auswählen oder per Drag &amp; Drop ins Fenster ziehen</w:t>
      </w:r>
    </w:p>
    <w:p>
      <w:pPr/>
      <w:r>
        <w:t xml:space="preserve">Die erste geladene Kurve wird zur Hauptkurve; weitere Kurven werden als Vergleich dazugeladen, sofern die Checkbox „Bestand ersetzen“ nicht gesetzt ist. Die Daten sind nach Ort → Serie → Kurve gegliedert (Serie = Quelle + Modell/Lauf + Ort, Kurve = Zeitpunkt). Im Datenpanel wählt ein Radio-Button die Hauptkurve, auf die sich Zeitleiste, Indizes und Hodograph beziehen.</w:t>
      </w:r>
    </w:p>
    <w:p>
      <w:pPr/>
      <w:r>
        <w:t xml:space="preserve">Ortssuche, Historie und Favoriten: Über der Karte (Reiter Modelllevel, Druckflächen und Messung) steht ein Suchfeld nach dem Vorbild von Dronecast und Trajektorientool:</w:t>
      </w:r>
    </w:p>
    <w:p>
      <w:pPr>
        <w:pStyle w:val="ListBullet"/>
      </w:pPr>
      <w:r>
        <w:t xml:space="preserve">Klick in das leere Feld zeigt die zuletzt geladenen Orte (bis zu 8) mit Alias, Ortsname, Koordinate sowie zuletzt verwendetem Modell und Vorhersagestunden (z. B. „ICON-D2 (ML) 0:48:1“). Auswahl setzt Marker, Koordinaten und den gespeicherten Alias.</w:t>
      </w:r>
    </w:p>
    <w:p>
      <w:pPr>
        <w:pStyle w:val="ListBullet"/>
      </w:pPr>
      <w:r>
        <w:t xml:space="preserve">☆/★ markiert einen Ort als Favorit; Favoriten zählen nicht zu den 8 und werden nie aus der Liste verdrängt.</w:t>
      </w:r>
    </w:p>
    <w:p>
      <w:pPr>
        <w:pStyle w:val="ListBullet"/>
      </w:pPr>
      <w:r>
        <w:t xml:space="preserve">Tippen sucht einen Ortsnamen (Photon); Dezimalkoordinaten wie „47.98, 11.23“ oder „47.98N 11.23E“ werden direkt erkannt und mit Enter übernommen. Pfeiltasten wählen, Esc schließt die Liste.</w:t>
      </w:r>
    </w:p>
    <w:p>
      <w:pPr>
        <w:pStyle w:val="ListBullet"/>
      </w:pPr>
      <w:r>
        <w:t xml:space="preserve">In die Historie kommt ein Ort erst nach einem erfolgreichen Modelllevel- oder Druckflächen-Abruf; erneutes Laden desselben Orts schiebt den Eintrag nach oben, der Favoritenstatus bleibt. Gespeichert wird im Browser (localStorage), also pro Browser und Gerät.</w:t>
      </w:r>
    </w:p>
    <w:p>
      <w:pPr>
        <w:pStyle w:val="ListBullet"/>
      </w:pPr>
      <w:r>
        <w:t xml:space="preserve">Zu jedem Ort werden auch das zuletzt benutzte Modell und die Vorhersagestunden (Laufzeit und Zeitinkrement, z. B. „0:48:1“) gespeichert. Bei der Auswahl im Reiter Modelllevel oder Druckflächen werden beide wieder eingesetzt; gehört das Modell zum anderen Reiter, wechselt der Dialog dorthin. Lauf-Datum und -Stunde der Druckflächen werden bewusst nicht gespeichert, dort bleibt der jüngste Lauf voreingestellt. Im Reiter Messung wird nur der Ort übernommen.</w:t>
      </w:r>
    </w:p>
    <w:p>
      <w:pPr>
        <w:pStyle w:val="Heading2"/>
        <w:jc w:val="left"/>
      </w:pPr>
      <w:r>
        <w:t>11.2  Navigation</w:t>
      </w:r>
    </w:p>
    <w:p>
      <w:pPr>
        <w:pStyle w:val="ListBullet"/>
      </w:pPr>
      <w:r>
        <w:t>Timeslider oder Pfeiltasten ←/→: zwischen Zeitschritten wechseln</w:t>
      </w:r>
    </w:p>
    <w:p>
      <w:pPr>
        <w:pStyle w:val="ListBullet"/>
      </w:pPr>
      <w:r>
        <w:t>Leertaste: Animation starten/stoppen</w:t>
      </w:r>
    </w:p>
    <w:p>
      <w:pPr>
        <w:pStyle w:val="ListBullet"/>
      </w:pPr>
      <w:r>
        <w:t>Mausrad: Zoom in/out</w:t>
      </w:r>
    </w:p>
    <w:p>
      <w:pPr>
        <w:pStyle w:val="ListBullet"/>
      </w:pPr>
      <w:r>
        <w:t>Mausziehen: Verschieben des Ausschnitts</w:t>
      </w:r>
    </w:p>
    <w:p>
      <w:pPr>
        <w:pStyle w:val="ListBullet"/>
      </w:pPr>
      <w:r>
        <w:t>Doppelklick: Zoom zurücksetzen</w:t>
      </w:r>
    </w:p>
    <w:p>
      <w:pPr>
        <w:pStyle w:val="Heading2"/>
        <w:jc w:val="left"/>
      </w:pPr>
      <w:r>
        <w:t>11.3  Diagrammwerte am Mauspunkt</w:t>
      </w:r>
    </w:p>
    <w:p>
      <w:pPr/>
      <w:r>
        <w:t xml:space="preserve">Die Sidebar zeigt beim Hovern die Werte des Profils auf dem nächsten Modell-Level. Für die Werte des Diagramms genau unter dem Mauszeiger – unabhängig von der Kurve – gibt es einen Tooltip, der nur bei Bedarf erscheint und die Darstellung sonst nicht überlagert.</w:t>
      </w:r>
    </w:p>
    <w:tbl>
      <w:tblPr>
        <w:tblStyle w:val="TableGrid"/>
        <w:tblW w:type="auto" w:w="0"/>
        <w:tblLook w:firstColumn="1" w:firstRow="1" w:lastColumn="0" w:lastRow="0" w:noHBand="0" w:noVBand="1" w:val="04A0"/>
      </w:tblPr>
      <w:tblGrid>
        <w:gridCol w:w="2600"/>
        <w:gridCol w:w="6522"/>
      </w:tblGrid>
      <w:tr>
        <w:tc>
          <w:tcPr>
            <w:tcW w:type="dxa" w:w="2600"/>
          </w:tcPr>
          <w:p>
            <w:r>
              <w:rPr>
                <w:b/>
              </w:rPr>
              <w:t xml:space="preserve">Bedienung</w:t>
            </w:r>
          </w:p>
        </w:tc>
        <w:tc>
          <w:tcPr>
            <w:tcW w:type="dxa" w:w="6522"/>
          </w:tcPr>
          <w:p>
            <w:r>
              <w:rPr>
                <w:b/>
              </w:rPr>
              <w:t xml:space="preserve">Wirkung</w:t>
            </w:r>
          </w:p>
        </w:tc>
      </w:tr>
      <w:tr>
        <w:tc>
          <w:tcPr>
            <w:tcW w:type="dxa" w:w="2600"/>
          </w:tcPr>
          <w:p>
            <w:r>
              <w:t xml:space="preserve">Shift halten</w:t>
            </w:r>
          </w:p>
        </w:tc>
        <w:tc>
          <w:tcPr>
            <w:tcW w:type="dxa" w:w="6522"/>
          </w:tcPr>
          <w:p>
            <w:r>
              <w:t xml:space="preserve">Tooltip am Mauspunkt; verschwindet beim Loslassen</w:t>
            </w:r>
          </w:p>
        </w:tc>
      </w:tr>
      <w:tr>
        <w:tc>
          <w:tcPr>
            <w:tcW w:type="dxa" w:w="2600"/>
          </w:tcPr>
          <w:p>
            <w:r>
              <w:t xml:space="preserve">Taste I</w:t>
            </w:r>
          </w:p>
        </w:tc>
        <w:tc>
          <w:tcPr>
            <w:tcW w:type="dxa" w:w="6522"/>
          </w:tcPr>
          <w:p>
            <w:r>
              <w:t xml:space="preserve">Tooltip dauerhaft ein/aus (wirkt nicht in Eingabefeldern)</w:t>
            </w:r>
          </w:p>
        </w:tc>
      </w:tr>
      <w:tr>
        <w:tc>
          <w:tcPr>
            <w:tcW w:type="dxa" w:w="2600"/>
          </w:tcPr>
          <w:p>
            <w:r>
              <w:t xml:space="preserve">Shift + Klick</w:t>
            </w:r>
          </w:p>
        </w:tc>
        <w:tc>
          <w:tcPr>
            <w:tcW w:type="dxa" w:w="6522"/>
          </w:tcPr>
          <w:p>
            <w:r>
              <w:t xml:space="preserve">Punkt A anheften; zweiter Klick setzt B, dritter beginnt wieder bei A</w:t>
            </w:r>
          </w:p>
        </w:tc>
      </w:tr>
      <w:tr>
        <w:tc>
          <w:tcPr>
            <w:tcW w:type="dxa" w:w="2600"/>
          </w:tcPr>
          <w:p>
            <w:r>
              <w:t xml:space="preserve">Esc</w:t>
            </w:r>
          </w:p>
        </w:tc>
        <w:tc>
          <w:tcPr>
            <w:tcW w:type="dxa" w:w="6522"/>
          </w:tcPr>
          <w:p>
            <w:r>
              <w:t xml:space="preserve">Angeheftete Punkte löschen</w:t>
            </w:r>
          </w:p>
        </w:tc>
      </w:tr>
    </w:tbl>
    <w:p/>
    <w:p>
      <w:pPr/>
      <w:r>
        <w:t xml:space="preserve">Inhalt des Tooltips. Die farbigen Zeilen entsprechen den gestrichelten Hilfslinien, die durch den Mauspunkt gezeichnet werden:</w:t>
      </w:r>
    </w:p>
    <w:tbl>
      <w:tblPr>
        <w:tblStyle w:val="TableGrid"/>
        <w:tblW w:type="auto" w:w="0"/>
        <w:tblLook w:firstColumn="1" w:firstRow="1" w:lastColumn="0" w:lastRow="0" w:noHBand="0" w:noVBand="1" w:val="04A0"/>
      </w:tblPr>
      <w:tblGrid>
        <w:gridCol w:w="2600"/>
        <w:gridCol w:w="6522"/>
      </w:tblGrid>
      <w:tr>
        <w:tc>
          <w:tcPr>
            <w:tcW w:type="dxa" w:w="2600"/>
          </w:tcPr>
          <w:p>
            <w:r>
              <w:rPr>
                <w:b/>
              </w:rPr>
              <w:t xml:space="preserve">Zeile</w:t>
            </w:r>
          </w:p>
        </w:tc>
        <w:tc>
          <w:tcPr>
            <w:tcW w:type="dxa" w:w="6522"/>
          </w:tcPr>
          <w:p>
            <w:r>
              <w:rPr>
                <w:b/>
              </w:rPr>
              <w:t xml:space="preserve">Bedeutung</w:t>
            </w:r>
          </w:p>
        </w:tc>
      </w:tr>
      <w:tr>
        <w:tc>
          <w:tcPr>
            <w:tcW w:type="dxa" w:w="2600"/>
          </w:tcPr>
          <w:p>
            <w:r>
              <w:t xml:space="preserve">p</w:t>
            </w:r>
          </w:p>
        </w:tc>
        <w:tc>
          <w:tcPr>
            <w:tcW w:type="dxa" w:w="6522"/>
          </w:tcPr>
          <w:p>
            <w:r>
              <w:t xml:space="preserve">Druck [hPa]</w:t>
            </w:r>
          </w:p>
        </w:tc>
      </w:tr>
      <w:tr>
        <w:tc>
          <w:tcPr>
            <w:tcW w:type="dxa" w:w="2600"/>
          </w:tcPr>
          <w:p>
            <w:r>
              <w:t xml:space="preserve">T</w:t>
            </w:r>
          </w:p>
        </w:tc>
        <w:tc>
          <w:tcPr>
            <w:tcW w:type="dxa" w:w="6522"/>
          </w:tcPr>
          <w:p>
            <w:r>
              <w:t xml:space="preserve">Temperatur an der Diagrammposition [°C]</w:t>
            </w:r>
          </w:p>
        </w:tc>
      </w:tr>
      <w:tr>
        <w:tc>
          <w:tcPr>
            <w:tcW w:type="dxa" w:w="2600"/>
          </w:tcPr>
          <w:p>
            <w:r>
              <w:t xml:space="preserve">z</w:t>
            </w:r>
          </w:p>
        </w:tc>
        <w:tc>
          <w:tcPr>
            <w:tcW w:type="dxa" w:w="6522"/>
          </w:tcPr>
          <w:p>
            <w:r>
              <w:t xml:space="preserve">Höhe dieses Druckniveaus, linear in ln p aus dem aktuellen Profil interpoliert [m AGL / ft AMSL]</w:t>
            </w:r>
          </w:p>
        </w:tc>
      </w:tr>
      <w:tr>
        <w:tc>
          <w:tcPr>
            <w:tcW w:type="dxa" w:w="2600"/>
          </w:tcPr>
          <w:p>
            <w:r>
              <w:t xml:space="preserve">θ (orange)</w:t>
            </w:r>
          </w:p>
        </w:tc>
        <w:tc>
          <w:tcPr>
            <w:tcW w:type="dxa" w:w="6522"/>
          </w:tcPr>
          <w:p>
            <w:r>
              <w:t xml:space="preserve">Potentielle Temperatur = Trockenadiabate durch den Punkt [°C und K]</w:t>
            </w:r>
          </w:p>
        </w:tc>
      </w:tr>
      <w:tr>
        <w:tc>
          <w:tcPr>
            <w:tcW w:type="dxa" w:w="2600"/>
          </w:tcPr>
          <w:p>
            <w:r>
              <w:t xml:space="preserve">ws (grün)</w:t>
            </w:r>
          </w:p>
        </w:tc>
        <w:tc>
          <w:tcPr>
            <w:tcW w:type="dxa" w:w="6522"/>
          </w:tcPr>
          <w:p>
            <w:r>
              <w:t xml:space="preserve">Sättigungsmischungsverhältnis = Isohume durch den Punkt [g/kg]</w:t>
            </w:r>
          </w:p>
        </w:tc>
      </w:tr>
      <w:tr>
        <w:tc>
          <w:tcPr>
            <w:tcW w:type="dxa" w:w="2600"/>
          </w:tcPr>
          <w:p>
            <w:r>
              <w:t xml:space="preserve">θw (blau)</w:t>
            </w:r>
          </w:p>
        </w:tc>
        <w:tc>
          <w:tcPr>
            <w:tcW w:type="dxa" w:w="6522"/>
          </w:tcPr>
          <w:p>
            <w:r>
              <w:t xml:space="preserve">Feuchtadiabate durch den Punkt, als Temperatur bei 1000 hPa (RK4, s. Kap. 2.2) [°C]</w:t>
            </w:r>
          </w:p>
        </w:tc>
      </w:tr>
    </w:tbl>
    <w:p/>
    <w:p>
      <w:pPr/>
      <w:r>
        <w:t xml:space="preserve">Ist Punkt A gesetzt, zeigt der Tooltip zusätzlich die Differenzen Mauspunkt − A; eine gestrichelte Linie verbindet A mit dem Mauspunkt. Sind A und B gesetzt, sind beide durch eine Linie verbunden und bei B steht dauerhaft ein Kasten mit den Differenzen B − A:</w:t>
      </w:r>
    </w:p>
    <w:tbl>
      <w:tblPr>
        <w:tblStyle w:val="TableGrid"/>
        <w:tblW w:type="auto" w:w="0"/>
        <w:tblLook w:firstColumn="1" w:firstRow="1" w:lastColumn="0" w:lastRow="0" w:noHBand="0" w:noVBand="1" w:val="04A0"/>
      </w:tblPr>
      <w:tblGrid>
        <w:gridCol w:w="2600"/>
        <w:gridCol w:w="6522"/>
      </w:tblGrid>
      <w:tr>
        <w:tc>
          <w:tcPr>
            <w:tcW w:type="dxa" w:w="2600"/>
          </w:tcPr>
          <w:p>
            <w:r>
              <w:rPr>
                <w:b/>
              </w:rPr>
              <w:t xml:space="preserve">Größe</w:t>
            </w:r>
          </w:p>
        </w:tc>
        <w:tc>
          <w:tcPr>
            <w:tcW w:type="dxa" w:w="6522"/>
          </w:tcPr>
          <w:p>
            <w:r>
              <w:rPr>
                <w:b/>
              </w:rPr>
              <w:t xml:space="preserve">Bedeutung</w:t>
            </w:r>
          </w:p>
        </w:tc>
      </w:tr>
      <w:tr>
        <w:tc>
          <w:tcPr>
            <w:tcW w:type="dxa" w:w="2600"/>
          </w:tcPr>
          <w:p>
            <w:r>
              <w:t xml:space="preserve">Δp, ΔT</w:t>
            </w:r>
          </w:p>
        </w:tc>
        <w:tc>
          <w:tcPr>
            <w:tcW w:type="dxa" w:w="6522"/>
          </w:tcPr>
          <w:p>
            <w:r>
              <w:t xml:space="preserve">Druck- [hPa] und Temperaturdifferenz [K]</w:t>
            </w:r>
          </w:p>
        </w:tc>
      </w:tr>
      <w:tr>
        <w:tc>
          <w:tcPr>
            <w:tcW w:type="dxa" w:w="2600"/>
          </w:tcPr>
          <w:p>
            <w:r>
              <w:t xml:space="preserve">Δz</w:t>
            </w:r>
          </w:p>
        </w:tc>
        <w:tc>
          <w:tcPr>
            <w:tcW w:type="dxa" w:w="6522"/>
          </w:tcPr>
          <w:p>
            <w:r>
              <w:t xml:space="preserve">Höhendifferenz [m / ft]</w:t>
            </w:r>
          </w:p>
        </w:tc>
      </w:tr>
      <w:tr>
        <w:tc>
          <w:tcPr>
            <w:tcW w:type="dxa" w:w="2600"/>
          </w:tcPr>
          <w:p>
            <w:r>
              <w:t xml:space="preserve">Γ = −ΔT/Δz</w:t>
            </w:r>
          </w:p>
        </w:tc>
        <w:tc>
          <w:tcPr>
            <w:tcW w:type="dxa" w:w="6522"/>
          </w:tcPr>
          <w:p>
            <w:r>
              <w:t xml:space="preserve">Temperaturgradient [K/100 m]; positiv = Abkühlung mit der Höhe, trockenadiabatisch ≈ 0,98</w:t>
            </w:r>
          </w:p>
        </w:tc>
      </w:tr>
      <w:tr>
        <w:tc>
          <w:tcPr>
            <w:tcW w:type="dxa" w:w="2600"/>
          </w:tcPr>
          <w:p>
            <w:r>
              <w:t xml:space="preserve">Δθ</w:t>
            </w:r>
          </w:p>
        </w:tc>
        <w:tc>
          <w:tcPr>
            <w:tcW w:type="dxa" w:w="6522"/>
          </w:tcPr>
          <w:p>
            <w:r>
              <w:t xml:space="preserve">Differenz der potentiellen Temperatur [K]; ≈ 0 trockenadiabatisch, &gt; 0 stabil, &lt; 0 überadiabatisch</w:t>
            </w:r>
          </w:p>
        </w:tc>
      </w:tr>
    </w:tbl>
    <w:p/>
    <w:p>
      <w:pPr/>
      <w:r>
        <w:t xml:space="preserve">Die Punkte werden in Diagrammkoordinaten (p, T) gespeichert und bleiben beim Zoomen und Verschieben an ihrer Position. Höhenangaben (z, Δz, Γ) beziehen sich stets auf den gerade angezeigten Termin der Hauptkurve und ändern sich daher beim Wechsel des Zeitschritts.</w:t>
      </w:r>
    </w:p>
    <w:p>
      <w:pPr>
        <w:pStyle w:val="Heading2"/>
        <w:jc w:val="left"/>
      </w:pPr>
      <w:r>
        <w:t>11.4  Optionale Overlays</w:t>
      </w:r>
    </w:p>
    <w:tbl>
      <w:tblPr>
        <w:tblStyle w:val="TableGrid"/>
        <w:tblW w:type="auto" w:w="0"/>
        <w:tblLook w:firstColumn="1" w:firstRow="1" w:lastColumn="0" w:lastRow="0" w:noHBand="0" w:noVBand="1" w:val="04A0"/>
      </w:tblPr>
      <w:tblGrid>
        <w:gridCol w:w="4561"/>
        <w:gridCol w:w="4561"/>
      </w:tblGrid>
      <w:tr>
        <w:tc>
          <w:tcPr>
            <w:tcW w:type="dxa" w:w="4561"/>
          </w:tcPr>
          <w:p>
            <w:r>
              <w:rPr>
                <w:b/>
              </w:rPr>
              <w:t>Checkbox</w:t>
            </w:r>
          </w:p>
        </w:tc>
        <w:tc>
          <w:tcPr>
            <w:tcW w:type="dxa" w:w="4561"/>
          </w:tcPr>
          <w:p>
            <w:r>
              <w:rPr>
                <w:b/>
              </w:rPr>
              <w:t>Funktion</w:t>
            </w:r>
          </w:p>
        </w:tc>
      </w:tr>
      <w:tr>
        <w:tc>
          <w:tcPr>
            <w:tcW w:type="dxa" w:w="4561"/>
          </w:tcPr>
          <w:p>
            <w:r>
              <w:t>CAPE (LFC) / CAPE (CCL)</w:t>
            </w:r>
          </w:p>
        </w:tc>
        <w:tc>
          <w:tcPr>
            <w:tcW w:type="dxa" w:w="4561"/>
          </w:tcPr>
          <w:p>
            <w:r>
              <w:t>Parcelkurve und CAPE/CIN-Fläche einblenden</w:t>
            </w:r>
          </w:p>
        </w:tc>
      </w:tr>
      <w:tr>
        <w:tc>
          <w:tcPr>
            <w:tcW w:type="dxa" w:w="4561"/>
          </w:tcPr>
          <w:p>
            <w:r>
              <w:t>CAT</w:t>
            </w:r>
          </w:p>
        </w:tc>
        <w:tc>
          <w:tcPr>
            <w:tcW w:type="dxa" w:w="4561"/>
          </w:tcPr>
          <w:p>
            <w:r>
              <w:t>Turbulenzschichten als farbige Hinterleuchtung</w:t>
            </w:r>
          </w:p>
        </w:tc>
      </w:tr>
      <w:tr>
        <w:tc>
          <w:tcPr>
            <w:tcW w:type="dxa" w:w="4561"/>
          </w:tcPr>
          <w:p>
            <w:r>
              <w:t>Kondensstreifen</w:t>
            </w:r>
          </w:p>
        </w:tc>
        <w:tc>
          <w:tcPr>
            <w:tcW w:type="dxa" w:w="4561"/>
          </w:tcPr>
          <w:p>
            <w:r>
              <w:t>Kondensstreifenzonen als farbige Hinterleuchtung</w:t>
            </w:r>
          </w:p>
        </w:tc>
      </w:tr>
      <w:tr>
        <w:tc>
          <w:tcPr>
            <w:tcW w:type="dxa" w:w="4561"/>
          </w:tcPr>
          <w:p>
            <w:r>
              <w:t xml:space="preserve">Wolken im Diagramm</w:t>
            </w:r>
          </w:p>
        </w:tc>
        <w:tc>
          <w:tcPr>
            <w:tcW w:type="dxa" w:w="4561"/>
          </w:tcPr>
          <w:p>
            <w:r>
              <w:t xml:space="preserve">Wolkendiagnose als farbige Hinterleuchtung</w:t>
            </w:r>
          </w:p>
        </w:tc>
      </w:tr>
      <w:tr>
        <w:tc>
          <w:tcPr>
            <w:tcW w:type="dxa" w:w="4561"/>
          </w:tcPr>
          <w:p>
            <w:r>
              <w:t xml:space="preserve">Wolken: Modell-Wasser/-Eis</w:t>
            </w:r>
          </w:p>
        </w:tc>
        <w:tc>
          <w:tcPr>
            <w:tcW w:type="dxa" w:w="4561"/>
          </w:tcPr>
          <w:p>
            <w:r>
              <w:t xml:space="preserve">Wolkenquelle Modell (Standard) statt RH-Heuristik, s. Kap. 8</w:t>
            </w:r>
          </w:p>
        </w:tc>
      </w:tr>
      <w:tr>
        <w:tc>
          <w:tcPr>
            <w:tcW w:type="dxa" w:w="4561"/>
          </w:tcPr>
          <w:p>
            <w:r>
              <w:t>SRH (Checkbox)</w:t>
            </w:r>
          </w:p>
        </w:tc>
        <w:tc>
          <w:tcPr>
            <w:tcW w:type="dxa" w:w="4561"/>
          </w:tcPr>
          <w:p>
            <w:r>
              <w:t>Hodograph einblenden (⤢ zum Vergrößern)</w:t>
            </w:r>
          </w:p>
        </w:tc>
      </w:tr>
      <w:tr>
        <w:tc>
          <w:tcPr>
            <w:tcW w:type="dxa" w:w="4561"/>
          </w:tcPr>
          <w:p>
            <w:r>
              <w:t xml:space="preserve">DEM Höhe</w:t>
            </w:r>
          </w:p>
        </w:tc>
        <w:tc>
          <w:tcPr>
            <w:tcW w:type="dxa" w:w="4561"/>
          </w:tcPr>
          <w:p>
            <w:r>
              <w:t xml:space="preserve">Referenzlinie der Geländehöhe (Copernicus DEM90), Standard aus</w:t>
            </w:r>
          </w:p>
        </w:tc>
      </w:tr>
      <w:tr>
        <w:tc>
          <w:tcPr>
            <w:tcW w:type="dxa" w:w="4561"/>
          </w:tcPr>
          <w:p>
            <w:r>
              <w:t xml:space="preserve">Taupunkt der Vergleiche</w:t>
            </w:r>
          </w:p>
        </w:tc>
        <w:tc>
          <w:tcPr>
            <w:tcW w:type="dxa" w:w="4561"/>
          </w:tcPr>
          <w:p>
            <w:r>
              <w:t xml:space="preserve">Taupunktkurven der Vergleichskurven ein-/ausblenden</w:t>
            </w:r>
          </w:p>
        </w:tc>
      </w:tr>
    </w:tbl>
    <w:p/>
    <w:p>
      <w:pPr>
        <w:pStyle w:val="Heading2"/>
        <w:jc w:val="left"/>
      </w:pPr>
      <w:r>
        <w:t>11.5  Export</w:t>
      </w:r>
    </w:p>
    <w:p>
      <w:pPr/>
      <w:r>
        <w:t xml:space="preserve">Im Datenpanel lässt sich jede Kurve einzeln als ASCII-Datei im HEIDIS-Format (TXT) und jede Serie als JSON exportieren; der Dateiname enthält Datum, Zeit, Modell und Ort. Für Live-Abrufe (Modelllevel, Druckflächen, Messung) kann zusätzlich die unveränderte Server-Antwort als Rohdaten gespeichert werden.</w:t>
      </w:r>
    </w:p>
    <w:p>
      <w:pPr>
        <w:pStyle w:val="Heading1"/>
        <w:jc w:val="left"/>
      </w:pPr>
      <w:r>
        <w:t>12  Literatur</w:t>
      </w:r>
    </w:p>
    <w:p>
      <w:pPr>
        <w:pStyle w:val="ListBullet"/>
      </w:pPr>
      <w:r>
        <w:t>Bolton, D. (1980): The computation of equivalent potential temperature. Mon. Wea. Rev., 108, 1046–1053.</w:t>
      </w:r>
    </w:p>
    <w:p>
      <w:pPr>
        <w:pStyle w:val="ListBullet"/>
      </w:pPr>
      <w:r>
        <w:t>Bourgouin, P. (1992): A method to determine precipitation types. Wea. Forecasting, 7, 231–238.</w:t>
      </w:r>
    </w:p>
    <w:p>
      <w:pPr>
        <w:pStyle w:val="ListBullet"/>
      </w:pPr>
      <w:r>
        <w:t>Bunkers, M. J. et al. (2000): Predicting supercell motion using a new hodograph technique. Wea. Forecasting, 15, 61–79.</w:t>
      </w:r>
    </w:p>
    <w:p>
      <w:pPr>
        <w:pStyle w:val="ListBullet"/>
      </w:pPr>
      <w:r>
        <w:t>Bunkers, M. J. et al. (2014): Observations of the 21 April 2007 tornadic supercell... [Effective-Layer-Methode]. Wea. Forecasting, 29, 1108–1134.</w:t>
      </w:r>
    </w:p>
    <w:p>
      <w:pPr>
        <w:pStyle w:val="ListBullet"/>
      </w:pPr>
      <w:r>
        <w:t>Davies-Jones, R. P. (1990): The dependence of core pressure on the ambient flow and the implications for storm motion. J. Atmos. Sci., 47, 2420–2429.</w:t>
      </w:r>
    </w:p>
    <w:p>
      <w:pPr>
        <w:pStyle w:val="ListBullet"/>
      </w:pPr>
      <w:r>
        <w:t>Doswell, C. A., and Rasmussen, E. N. (1994): The effect of neglecting the virtual temperature correction on CAPE calculations. Wea. Forecasting, 9, 625–629.</w:t>
      </w:r>
    </w:p>
    <w:p>
      <w:pPr>
        <w:pStyle w:val="ListBullet"/>
      </w:pPr>
      <w:r>
        <w:t>Thompson, R. L. et al. (2004): Close proximity soundings within supercell environments obtained from the Rapid Update Cycle. Wea. Forecasting, 19, 1243–1261.</w:t>
      </w:r>
    </w:p>
    <w:p>
      <w:pPr>
        <w:pStyle w:val="ListBullet"/>
      </w:pPr>
      <w:r>
        <w:t>WMO (2018): Guide to Meteorological Instruments and Methods of Observation. WMO-No. 8.</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