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882211"/>
          <w:sz w:val="18"/>
        </w:rPr>
        <w:t>RISKPILOT CYBER RISK REPORT</w:t>
      </w:r>
    </w:p>
    <w:p>
      <w:pPr>
        <w:pStyle w:val="Heading1"/>
      </w:pPr>
      <w:r>
        <w:rPr>
          <w:rFonts w:ascii="Segoe UI" w:hAnsi="Segoe UI"/>
          <w:b/>
          <w:color w:val="003388"/>
          <w:sz w:val="40"/>
        </w:rPr>
        <w:t>Risk Register Report: Infrastructure Assessment A</w:t>
      </w:r>
    </w:p>
    <w:p>
      <w:r>
        <w:t>This report contains the raw tabular cyber risk registry for compliance auditing and governance reviews.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003388"/>
          </w:tcPr>
          <w:p>
            <w:r>
              <w:rPr>
                <w:b/>
                <w:color w:val="FFFFFF"/>
              </w:rPr>
              <w:t>Asset</w:t>
            </w:r>
          </w:p>
        </w:tc>
        <w:tc>
          <w:tcPr>
            <w:tcW w:type="dxa" w:w="1440"/>
            <w:shd w:val="clear" w:color="auto" w:fill="003388"/>
          </w:tcPr>
          <w:p>
            <w:r>
              <w:rPr>
                <w:b/>
                <w:color w:val="FFFFFF"/>
              </w:rPr>
              <w:t>Threat Scenario</w:t>
            </w:r>
          </w:p>
        </w:tc>
        <w:tc>
          <w:tcPr>
            <w:tcW w:type="dxa" w:w="1440"/>
            <w:shd w:val="clear" w:color="auto" w:fill="003388"/>
          </w:tcPr>
          <w:p>
            <w:r>
              <w:rPr>
                <w:b/>
                <w:color w:val="FFFFFF"/>
              </w:rPr>
              <w:t>Inherent Score</w:t>
            </w:r>
          </w:p>
        </w:tc>
        <w:tc>
          <w:tcPr>
            <w:tcW w:type="dxa" w:w="1440"/>
            <w:shd w:val="clear" w:color="auto" w:fill="003388"/>
          </w:tcPr>
          <w:p>
            <w:r>
              <w:rPr>
                <w:b/>
                <w:color w:val="FFFFFF"/>
              </w:rPr>
              <w:t>Inherent Category</w:t>
            </w:r>
          </w:p>
        </w:tc>
        <w:tc>
          <w:tcPr>
            <w:tcW w:type="dxa" w:w="1440"/>
            <w:shd w:val="clear" w:color="auto" w:fill="003388"/>
          </w:tcPr>
          <w:p>
            <w:r>
              <w:rPr>
                <w:b/>
                <w:color w:val="FFFFFF"/>
              </w:rPr>
              <w:t>Residual Score</w:t>
            </w:r>
          </w:p>
        </w:tc>
        <w:tc>
          <w:tcPr>
            <w:tcW w:type="dxa" w:w="1440"/>
            <w:shd w:val="clear" w:color="auto" w:fill="003388"/>
          </w:tcPr>
          <w:p>
            <w:r>
              <w:rPr>
                <w:b/>
                <w:color w:val="FFFFFF"/>
              </w:rPr>
              <w:t>Residual Category</w:t>
            </w:r>
          </w:p>
        </w:tc>
      </w:tr>
      <w:tr>
        <w:tc>
          <w:tcPr>
            <w:tcW w:type="dxa" w:w="1440"/>
          </w:tcPr>
          <w:p>
            <w:r>
              <w:t>Server Rack 1</w:t>
            </w:r>
          </w:p>
        </w:tc>
        <w:tc>
          <w:tcPr>
            <w:tcW w:type="dxa" w:w="1440"/>
          </w:tcPr>
          <w:p>
            <w:r>
              <w:t>Fire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N/A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