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1FB" w:rsidRPr="00712193" w:rsidRDefault="006E5D2E">
      <w:pPr>
        <w:spacing w:before="2000"/>
        <w:jc w:val="center"/>
      </w:pPr>
      <w:r w:rsidRPr="00712193">
        <w:rPr>
          <w:b/>
          <w:bCs/>
          <w:sz w:val="44"/>
          <w:szCs w:val="44"/>
        </w:rPr>
        <w:t>Exercícios Práticos</w:t>
      </w:r>
    </w:p>
    <w:p w:rsidR="000C21FB" w:rsidRPr="00712193" w:rsidRDefault="006E5D2E">
      <w:pPr>
        <w:spacing w:after="400"/>
        <w:jc w:val="center"/>
      </w:pPr>
      <w:r w:rsidRPr="00712193">
        <w:rPr>
          <w:b/>
          <w:bCs/>
          <w:sz w:val="32"/>
          <w:szCs w:val="32"/>
        </w:rPr>
        <w:t>Padrões de Projeto (Design Patterns) em Java</w:t>
      </w:r>
    </w:p>
    <w:p w:rsidR="000C21FB" w:rsidRPr="00712193" w:rsidRDefault="006E5D2E">
      <w:pPr>
        <w:spacing w:after="200"/>
        <w:jc w:val="center"/>
      </w:pPr>
      <w:r w:rsidRPr="00712193">
        <w:rPr>
          <w:i/>
          <w:iCs/>
          <w:sz w:val="26"/>
          <w:szCs w:val="26"/>
        </w:rPr>
        <w:t>Factory Method e Abstract Factory</w:t>
      </w:r>
    </w:p>
    <w:p w:rsidR="000C21FB" w:rsidRPr="00712193" w:rsidRDefault="00712193">
      <w:pPr>
        <w:pStyle w:val="Ttulo1"/>
        <w:spacing w:before="400" w:after="200"/>
        <w:rPr>
          <w:color w:val="auto"/>
        </w:rPr>
      </w:pPr>
      <w:r>
        <w:rPr>
          <w:color w:val="auto"/>
        </w:rPr>
        <w:t xml:space="preserve">Exercício </w:t>
      </w:r>
      <w:proofErr w:type="gramStart"/>
      <w:r>
        <w:rPr>
          <w:color w:val="auto"/>
        </w:rPr>
        <w:t>1</w:t>
      </w:r>
      <w:proofErr w:type="gramEnd"/>
      <w:r>
        <w:rPr>
          <w:color w:val="auto"/>
        </w:rPr>
        <w:t>:</w:t>
      </w:r>
      <w:r w:rsidR="006E5D2E" w:rsidRPr="00712193">
        <w:rPr>
          <w:color w:val="auto"/>
        </w:rPr>
        <w:t xml:space="preserve"> Sistema de Emissão de Apólices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Contexto de negócio</w:t>
      </w:r>
    </w:p>
    <w:p w:rsidR="000C21FB" w:rsidRPr="00712193" w:rsidRDefault="006E5D2E">
      <w:pPr>
        <w:spacing w:after="160"/>
      </w:pPr>
      <w:r w:rsidRPr="00712193">
        <w:t>Uma seguradora de médio porte decidiu substituir a rotina de emissão de apólices, hoje resolvida por uma sequência de estruturas condicionais que cresce a cada produto novo lançado. A área de tecnologia re</w:t>
      </w:r>
      <w:r w:rsidRPr="00712193">
        <w:t>cebeu da diretoria comercial a especificação de quatro linhas de produto (Automóvel, Residencial, Vida e Viagem) e um requisito recorrente nas revisões de arquitetura: a inclusão de uma quinta linha de produto, já em estudo pelo time comercial, não pode ex</w:t>
      </w:r>
      <w:r w:rsidRPr="00712193">
        <w:t>igir alteração de nenhuma classe em produção, apenas a adição de classes novas.</w:t>
      </w:r>
    </w:p>
    <w:p w:rsidR="000C21FB" w:rsidRPr="00712193" w:rsidRDefault="006E5D2E">
      <w:pPr>
        <w:spacing w:after="160"/>
      </w:pPr>
      <w:r w:rsidRPr="00712193">
        <w:t>A especificação a seguir descreve as regras de cálculo de prêmio, as validações obrigatórias de cobertura e a documentação exigida para cada linha de produto.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Especificação fun</w:t>
      </w:r>
      <w:r w:rsidRPr="00712193">
        <w:rPr>
          <w:color w:val="auto"/>
        </w:rPr>
        <w:t>cional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 xml:space="preserve">RF01 (Apólice Auto) — </w:t>
      </w:r>
      <w:r w:rsidRPr="00712193">
        <w:t xml:space="preserve">o prêmio mensal corresponde a 8% do valor de tabela FIPE do veículo, dividido por 12. Se o condutor tiver menos de 25 anos, </w:t>
      </w:r>
      <w:proofErr w:type="gramStart"/>
      <w:r w:rsidRPr="00712193">
        <w:t>aplica</w:t>
      </w:r>
      <w:r w:rsidR="00712193">
        <w:t>:</w:t>
      </w:r>
      <w:proofErr w:type="gramEnd"/>
      <w:r w:rsidRPr="00712193">
        <w:t>se um acréscimo de 30% sobre o prêmio anual; se o tempo de habilitação for inferior a 2 anos, ap</w:t>
      </w:r>
      <w:r w:rsidRPr="00712193">
        <w:t>lica</w:t>
      </w:r>
      <w:r w:rsidR="00712193">
        <w:t>:</w:t>
      </w:r>
      <w:r w:rsidRPr="00712193">
        <w:t>se um acréscimo adicional de 20%. A apólice exige cobertura contratada contra terceiros de, no mínimo, R$ 50.000,00; caso contrário, a contratação deve ser rejeitada. Documentos exigidos: CNH, CRLV e comprovante de residência.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RF02 (Apólice Residencia</w:t>
      </w:r>
      <w:r w:rsidRPr="00712193">
        <w:rPr>
          <w:b/>
          <w:bCs/>
        </w:rPr>
        <w:t xml:space="preserve">l) — </w:t>
      </w:r>
      <w:r w:rsidRPr="00712193">
        <w:t>o prêmio mensal corresponde a 1,5% do valor do imóvel ao ano, dividido por 12. Imóveis classificados como alto padrão recebem acréscimo de 25% sobre o prêmio anual. A contratação exige a apresentação de escritura ou contrato de locação; sem esse docum</w:t>
      </w:r>
      <w:r w:rsidRPr="00712193">
        <w:t>ento, a contratação deve ser rejeitada. Documentos exigidos: escritura ou contrato de locação e comprovante de residência.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 xml:space="preserve">RF03 (Apólice Vida) — </w:t>
      </w:r>
      <w:r w:rsidRPr="00712193">
        <w:t>o prêmio mensal é calculado por (idade do segurado × 12) + (capital segurado × 0,002). Segurados fumantes receb</w:t>
      </w:r>
      <w:r w:rsidRPr="00712193">
        <w:t>em acréscimo de 50% sobre o prêmio. Contratações com capital segurado acima de R$ 500.000,00 exigem atestado médico; sem esse documento, a contratação deve ser rejeitada. Documentos exigidos: documento de identidade, CPF e, quando aplicável, atestado médic</w:t>
      </w:r>
      <w:r w:rsidRPr="00712193">
        <w:t>o.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 xml:space="preserve">RF04 (Apólice Viagem) — </w:t>
      </w:r>
      <w:r w:rsidRPr="00712193">
        <w:t>o prêmio é calculado por (dias de viagem × R$ 15,00), acrescido de R$ 100,00 quando o destino for internacional. Viagens internacionais exigem cobertura de assistência médica contratada de, no mínimo, US$ 30.000,00 e apresentação</w:t>
      </w:r>
      <w:r w:rsidRPr="00712193">
        <w:t xml:space="preserve"> de passaporte; a </w:t>
      </w:r>
      <w:r w:rsidRPr="00712193">
        <w:lastRenderedPageBreak/>
        <w:t>ausência de qualquer um dos dois deve rejeitar a contratação. Documentos exigidos: itinerário de viagem e, quando aplicável, passaporte.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Requisitos não funcionais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 xml:space="preserve">RNF01 — </w:t>
      </w:r>
      <w:r w:rsidRPr="00712193">
        <w:t xml:space="preserve">novas linhas de produto devem poder ser adicionadas ao sistema sem </w:t>
      </w:r>
      <w:r w:rsidRPr="00712193">
        <w:t>alteração de nenhuma classe já existente (princípio do aberto/fechado).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 xml:space="preserve">RNF02 — </w:t>
      </w:r>
      <w:r w:rsidRPr="00712193">
        <w:t>toda apólice emitida recebe um número único, prefixado conforme o tipo (AUTO-</w:t>
      </w:r>
      <w:r w:rsidRPr="00712193">
        <w:t>, RES-</w:t>
      </w:r>
      <w:r w:rsidRPr="00712193">
        <w:t>, VID-</w:t>
      </w:r>
      <w:r w:rsidRPr="00712193">
        <w:t>, VIA-</w:t>
      </w:r>
      <w:r w:rsidRPr="00712193">
        <w:t>).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 xml:space="preserve">RNF03 — </w:t>
      </w:r>
      <w:r w:rsidRPr="00712193">
        <w:t>o sistema deve gerar, para toda contratação bem-</w:t>
      </w:r>
      <w:r w:rsidRPr="00712193">
        <w:t>sucedida, um resumo te</w:t>
      </w:r>
      <w:r w:rsidRPr="00712193">
        <w:t>xtual padronizado contendo número da apólice, segurado, data de emissão, prêmio calculado e documentos exigidos.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Tarefa</w:t>
      </w:r>
    </w:p>
    <w:p w:rsidR="000C21FB" w:rsidRPr="00712193" w:rsidRDefault="006E5D2E">
      <w:pPr>
        <w:spacing w:after="160"/>
      </w:pPr>
      <w:proofErr w:type="gramStart"/>
      <w:r w:rsidRPr="00712193">
        <w:t>Implemente</w:t>
      </w:r>
      <w:proofErr w:type="gramEnd"/>
      <w:r w:rsidRPr="00712193">
        <w:t xml:space="preserve"> o sistema descrito utilizando explicitamente o padrão de projeto Factory Method (GoF), respeitando a seguinte estrutura: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uma</w:t>
      </w:r>
      <w:proofErr w:type="gramEnd"/>
      <w:r w:rsidRPr="00712193">
        <w:t xml:space="preserve"> classe abstrata de produto que declare os métodos comuns a toda apólice (cálculo de prêmio, validação de cobertura, listagem de documentos e geração de resumo), com uma subclasse concreta para cada linha de produto;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uma</w:t>
      </w:r>
      <w:proofErr w:type="gramEnd"/>
      <w:r w:rsidRPr="00712193">
        <w:t xml:space="preserve"> classe abstrata de criador que d</w:t>
      </w:r>
      <w:r w:rsidRPr="00712193">
        <w:t>eclare o método fábrica (abstrato) responsável por instanciar o produto, além de um método concreto e final que processe a contratação usando apenas a abstração do produto retornado pelo método fábrica;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uma</w:t>
      </w:r>
      <w:proofErr w:type="gramEnd"/>
      <w:r w:rsidRPr="00712193">
        <w:t xml:space="preserve"> subclasse concreta de criador para cada linha de </w:t>
      </w:r>
      <w:r w:rsidRPr="00712193">
        <w:t>produto, cada uma sobrescrevendo o método fábrica para retornar a apólice correspondente;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uma</w:t>
      </w:r>
      <w:proofErr w:type="gramEnd"/>
      <w:r w:rsidRPr="00712193">
        <w:t xml:space="preserve"> classe cliente que selecione o criador adequado a partir do tipo de apólice solicitado e nunca instancie diretamente uma classe concreta de produto.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Entregáveis</w:t>
      </w:r>
    </w:p>
    <w:p w:rsidR="000C21FB" w:rsidRPr="00712193" w:rsidRDefault="006E5D2E">
      <w:pPr>
        <w:pStyle w:val="PargrafodaLista"/>
        <w:numPr>
          <w:ilvl w:val="0"/>
          <w:numId w:val="3"/>
        </w:numPr>
        <w:spacing w:after="100"/>
      </w:pPr>
      <w:proofErr w:type="gramStart"/>
      <w:r w:rsidRPr="00712193">
        <w:t>d</w:t>
      </w:r>
      <w:r w:rsidRPr="00712193">
        <w:t>iagrama</w:t>
      </w:r>
      <w:proofErr w:type="gramEnd"/>
      <w:r w:rsidRPr="00712193">
        <w:t xml:space="preserve"> de classes UML completo, mostrando a hierarquia de produtos, a hierarquia de criadores, a relação entre o método fábrica e o produto criado, e a classe cliente;</w:t>
      </w:r>
    </w:p>
    <w:p w:rsidR="000C21FB" w:rsidRPr="00712193" w:rsidRDefault="006E5D2E">
      <w:pPr>
        <w:pStyle w:val="PargrafodaLista"/>
        <w:numPr>
          <w:ilvl w:val="0"/>
          <w:numId w:val="3"/>
        </w:numPr>
        <w:spacing w:after="100"/>
      </w:pPr>
      <w:proofErr w:type="gramStart"/>
      <w:r w:rsidRPr="00712193">
        <w:t>implementação</w:t>
      </w:r>
      <w:proofErr w:type="gramEnd"/>
      <w:r w:rsidRPr="00712193">
        <w:t xml:space="preserve"> Java completa e compilável, incluindo uma classe de teste (main) que emit</w:t>
      </w:r>
      <w:r w:rsidRPr="00712193">
        <w:t>a ao menos uma apólice de cada linha de produto e imprima o resumo gerado para cada uma.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Critérios de avaliação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aplicação</w:t>
      </w:r>
      <w:proofErr w:type="gramEnd"/>
      <w:r w:rsidRPr="00712193">
        <w:t xml:space="preserve"> correta do Factory Method, com o método fábrica isolado nas subclasses de criador e o algoritmo de processamento centralizado na super</w:t>
      </w:r>
      <w:r w:rsidRPr="00712193">
        <w:t>classe;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implementação</w:t>
      </w:r>
      <w:proofErr w:type="gramEnd"/>
      <w:r w:rsidRPr="00712193">
        <w:t xml:space="preserve"> fiel das regras de cálculo de prêmio e das validações de RF01 a RF04, incluindo a rejeição de contratações que não atendam aos mínimos exigidos;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ausência</w:t>
      </w:r>
      <w:proofErr w:type="gramEnd"/>
      <w:r w:rsidRPr="00712193">
        <w:t xml:space="preserve"> de estruturas condicionais que decidam o tipo de produto dentro da classe client</w:t>
      </w:r>
      <w:r w:rsidRPr="00712193">
        <w:t>e ou dentro da superclasse de criador;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aderência</w:t>
      </w:r>
      <w:proofErr w:type="gramEnd"/>
      <w:r w:rsidRPr="00712193">
        <w:t xml:space="preserve"> do diagrama de classes à implementação entregue.</w:t>
      </w:r>
    </w:p>
    <w:p w:rsidR="000C21FB" w:rsidRPr="00712193" w:rsidRDefault="000C21FB">
      <w:pPr>
        <w:sectPr w:rsidR="000C21FB" w:rsidRPr="0071219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C21FB" w:rsidRPr="00712193" w:rsidRDefault="006E5D2E">
      <w:pPr>
        <w:pStyle w:val="Ttulo1"/>
        <w:spacing w:before="400" w:after="200"/>
        <w:rPr>
          <w:color w:val="auto"/>
        </w:rPr>
      </w:pPr>
      <w:r>
        <w:rPr>
          <w:color w:val="auto"/>
        </w:rPr>
        <w:lastRenderedPageBreak/>
        <w:t xml:space="preserve">Exercício </w:t>
      </w:r>
      <w:proofErr w:type="gramStart"/>
      <w:r>
        <w:rPr>
          <w:color w:val="auto"/>
        </w:rPr>
        <w:t>2</w:t>
      </w:r>
      <w:proofErr w:type="gramEnd"/>
      <w:r>
        <w:rPr>
          <w:color w:val="auto"/>
        </w:rPr>
        <w:t xml:space="preserve"> :</w:t>
      </w:r>
      <w:r w:rsidRPr="00712193">
        <w:rPr>
          <w:color w:val="auto"/>
        </w:rPr>
        <w:t xml:space="preserve"> Checko</w:t>
      </w:r>
      <w:r w:rsidRPr="00712193">
        <w:rPr>
          <w:color w:val="auto"/>
        </w:rPr>
        <w:t>ut Internacional de Marketplace</w:t>
      </w:r>
    </w:p>
    <w:p w:rsidR="000C21FB" w:rsidRPr="00712193" w:rsidRDefault="006E5D2E">
      <w:pPr>
        <w:spacing w:after="160"/>
      </w:pPr>
      <w:r w:rsidRPr="00712193">
        <w:rPr>
          <w:b/>
          <w:bCs/>
        </w:rPr>
        <w:t>Nível de dificuldade: moderado.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Contexto de negócio</w:t>
      </w:r>
    </w:p>
    <w:p w:rsidR="000C21FB" w:rsidRPr="00712193" w:rsidRDefault="006E5D2E">
      <w:pPr>
        <w:spacing w:after="160"/>
      </w:pPr>
      <w:r w:rsidRPr="00712193">
        <w:t>Um marketplace brasileiro está expandindo suas operações para os Estados Unidos e para a Alemanha. Ao finalizar um pedido, o sistema de checkout precisa gerar três artefato</w:t>
      </w:r>
      <w:r w:rsidRPr="00712193">
        <w:t>s: o documento fiscal, o processamento do pagamento e a etiqueta de envio. Após um incidente registrado durante o piloto da expansão, a equipe de compliance impôs uma exigência explícita: os três artefatos de um mesmo pedido precisam pertencer sempre ao me</w:t>
      </w:r>
      <w:r w:rsidRPr="00712193">
        <w:t>smo país de destino, porque a combinação de formatos de países diferentes (por exemplo, uma nota fiscal eletrônica brasileira associada a uma etiqueta de envio americana) gerou rejeição alfandegária e retrabalho manual da operação.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Especificação funcional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RF01 (Brasil</w:t>
      </w:r>
      <w:proofErr w:type="gramStart"/>
      <w:r w:rsidRPr="00712193">
        <w:rPr>
          <w:b/>
          <w:bCs/>
        </w:rPr>
        <w:t xml:space="preserve">) </w:t>
      </w:r>
      <w:r>
        <w:rPr>
          <w:b/>
          <w:bCs/>
        </w:rPr>
        <w:t>:</w:t>
      </w:r>
      <w:proofErr w:type="gramEnd"/>
      <w:r w:rsidRPr="00712193">
        <w:rPr>
          <w:b/>
          <w:bCs/>
        </w:rPr>
        <w:t xml:space="preserve"> </w:t>
      </w:r>
      <w:r w:rsidRPr="00712193">
        <w:t xml:space="preserve">o documento fiscal é uma nota fiscal eletrônica, com CFOP 5.102 para operações dentro do estado e 6.102 para operações interestaduais, ICMS de 18% (ou 12% em operações interestaduais) e chave de acesso simulada de 44 dígitos. O pagamento é </w:t>
      </w:r>
      <w:r w:rsidRPr="00712193">
        <w:t xml:space="preserve">processado via Pix, com desconto de 5%, ou via boleto, com compensação em </w:t>
      </w:r>
      <w:proofErr w:type="gramStart"/>
      <w:r w:rsidRPr="00712193">
        <w:t>3</w:t>
      </w:r>
      <w:proofErr w:type="gramEnd"/>
      <w:r w:rsidRPr="00712193">
        <w:t xml:space="preserve"> dias úteis. A etiqueta de envio é gerada pelos Correios, com CEP no formato 00000-</w:t>
      </w:r>
      <w:r w:rsidRPr="00712193">
        <w:t>000.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RF02 (Estados Unidos</w:t>
      </w:r>
      <w:proofErr w:type="gramStart"/>
      <w:r w:rsidRPr="00712193">
        <w:rPr>
          <w:b/>
          <w:bCs/>
        </w:rPr>
        <w:t xml:space="preserve">)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712193">
        <w:t>o documento fiscal é uma sales invoice, com sales tax calculada confo</w:t>
      </w:r>
      <w:r w:rsidRPr="00712193">
        <w:t>rme o estado de destino (California 7,25%, Texas 6,25%, Oregon isento) e identificação do vendedor por EIN. O pagamento é processado por cartão de crédito, com verificação AVS. A etiqueta de envio é gerada pela USPS, no formato ZIP+4.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RF03 (Alemanha)</w:t>
      </w:r>
      <w:r>
        <w:rPr>
          <w:b/>
          <w:bCs/>
        </w:rPr>
        <w:t>:</w:t>
      </w:r>
      <w:r w:rsidRPr="00712193">
        <w:rPr>
          <w:b/>
          <w:bCs/>
        </w:rPr>
        <w:t xml:space="preserve"> </w:t>
      </w:r>
      <w:r w:rsidRPr="00712193">
        <w:t>o documento fiscal é uma VAT invoice, com Umsatzsteuer de 19% (ou 7% para produtos essenciais) e VAT-</w:t>
      </w:r>
      <w:r w:rsidRPr="00712193">
        <w:t xml:space="preserve">ID do vendedor. O pagamento é processado por SEPA Direct Debit. A etiqueta de envio é gerada pela Deutsche Post, no formato PLZ de </w:t>
      </w:r>
      <w:proofErr w:type="gramStart"/>
      <w:r w:rsidRPr="00712193">
        <w:t>5</w:t>
      </w:r>
      <w:proofErr w:type="gramEnd"/>
      <w:r w:rsidRPr="00712193">
        <w:t xml:space="preserve"> dígitos.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Requisitos nã</w:t>
      </w:r>
      <w:r w:rsidRPr="00712193">
        <w:rPr>
          <w:color w:val="auto"/>
        </w:rPr>
        <w:t>o funcionais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RNF01</w:t>
      </w:r>
      <w:r>
        <w:rPr>
          <w:b/>
          <w:bCs/>
        </w:rPr>
        <w:t>:</w:t>
      </w:r>
      <w:r w:rsidRPr="00712193">
        <w:rPr>
          <w:b/>
          <w:bCs/>
        </w:rPr>
        <w:t xml:space="preserve"> </w:t>
      </w:r>
      <w:r w:rsidRPr="00712193">
        <w:t>a adição de um novo país de operação não pode exigir alteração da lógica de checkout já existente, apenas a inclusão de novas classes.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RNF02</w:t>
      </w:r>
      <w:r>
        <w:rPr>
          <w:b/>
          <w:bCs/>
        </w:rPr>
        <w:t xml:space="preserve">: </w:t>
      </w:r>
      <w:r w:rsidRPr="00712193">
        <w:t>a classe responsável por finalizar o pedido não pode conter estruturas condicionais que deci</w:t>
      </w:r>
      <w:r w:rsidRPr="00712193">
        <w:t>dam, país a país, qual documento fiscal, processador de pagamento ou etiqueta de envio utilizar; ela deve depender apenas de abstrações.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20"/>
      </w:pPr>
      <w:r w:rsidRPr="00712193">
        <w:rPr>
          <w:b/>
          <w:bCs/>
        </w:rPr>
        <w:t>RNF03</w:t>
      </w:r>
      <w:r>
        <w:rPr>
          <w:b/>
          <w:bCs/>
        </w:rPr>
        <w:t>:</w:t>
      </w:r>
      <w:r w:rsidRPr="00712193">
        <w:rPr>
          <w:b/>
          <w:bCs/>
        </w:rPr>
        <w:t xml:space="preserve"> </w:t>
      </w:r>
      <w:r w:rsidRPr="00712193">
        <w:t xml:space="preserve">o relatório final do pedido deve exibir os três artefatos gerados em um formato padronizado, independentemente </w:t>
      </w:r>
      <w:r w:rsidRPr="00712193">
        <w:t>do país de destino.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Tarefa</w:t>
      </w:r>
    </w:p>
    <w:p w:rsidR="000C21FB" w:rsidRPr="00712193" w:rsidRDefault="006E5D2E">
      <w:pPr>
        <w:spacing w:after="160"/>
      </w:pPr>
      <w:r w:rsidRPr="00712193">
        <w:t xml:space="preserve">Projete e </w:t>
      </w:r>
      <w:proofErr w:type="gramStart"/>
      <w:r w:rsidRPr="00712193">
        <w:t>implemente</w:t>
      </w:r>
      <w:proofErr w:type="gramEnd"/>
      <w:r w:rsidRPr="00712193">
        <w:t xml:space="preserve"> uma solução orientada a objetos que satisfaça a especificação acima e que impeça, pela própria estrutura das classes, que artefatos de países diferentes sejam combinados em um mesmo pedido. Identifique, a par</w:t>
      </w:r>
      <w:r w:rsidRPr="00712193">
        <w:t xml:space="preserve">tir dos requisitos, qual padrão de projeto da família </w:t>
      </w:r>
      <w:proofErr w:type="gramStart"/>
      <w:r w:rsidRPr="00712193">
        <w:t>GoF</w:t>
      </w:r>
      <w:proofErr w:type="gramEnd"/>
      <w:r w:rsidRPr="00712193">
        <w:t xml:space="preserve"> resolve esse problema e utilize-</w:t>
      </w:r>
      <w:r w:rsidRPr="00712193">
        <w:t>o na implementação.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Entregáveis</w:t>
      </w:r>
    </w:p>
    <w:p w:rsidR="000C21FB" w:rsidRPr="00712193" w:rsidRDefault="006E5D2E">
      <w:pPr>
        <w:pStyle w:val="PargrafodaLista"/>
        <w:numPr>
          <w:ilvl w:val="0"/>
          <w:numId w:val="3"/>
        </w:numPr>
        <w:spacing w:after="100"/>
      </w:pPr>
      <w:proofErr w:type="gramStart"/>
      <w:r w:rsidRPr="00712193">
        <w:lastRenderedPageBreak/>
        <w:t>diagrama</w:t>
      </w:r>
      <w:proofErr w:type="gramEnd"/>
      <w:r w:rsidRPr="00712193">
        <w:t xml:space="preserve"> de classes UML completo da solução adotada, incluindo as interfaces de produto, as classes concretas por país e o componente </w:t>
      </w:r>
      <w:r w:rsidRPr="00712193">
        <w:t>responsável por selecioná-</w:t>
      </w:r>
      <w:r w:rsidRPr="00712193">
        <w:t>las;</w:t>
      </w:r>
    </w:p>
    <w:p w:rsidR="000C21FB" w:rsidRPr="00712193" w:rsidRDefault="006E5D2E">
      <w:pPr>
        <w:pStyle w:val="PargrafodaLista"/>
        <w:numPr>
          <w:ilvl w:val="0"/>
          <w:numId w:val="3"/>
        </w:numPr>
        <w:spacing w:after="100"/>
      </w:pPr>
      <w:proofErr w:type="gramStart"/>
      <w:r w:rsidRPr="00712193">
        <w:t>implementação</w:t>
      </w:r>
      <w:proofErr w:type="gramEnd"/>
      <w:r w:rsidRPr="00712193">
        <w:t xml:space="preserve"> Java completa e compilável, incluindo uma classe de teste (main) que finalize um pedido para cada um dos três países e imprima o relatório gerado.</w:t>
      </w:r>
    </w:p>
    <w:p w:rsidR="000C21FB" w:rsidRPr="00712193" w:rsidRDefault="006E5D2E">
      <w:pPr>
        <w:pStyle w:val="Ttulo2"/>
        <w:spacing w:before="300" w:after="160"/>
        <w:rPr>
          <w:color w:val="auto"/>
        </w:rPr>
      </w:pPr>
      <w:r w:rsidRPr="00712193">
        <w:rPr>
          <w:color w:val="auto"/>
        </w:rPr>
        <w:t>Critérios de avaliação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identificação</w:t>
      </w:r>
      <w:proofErr w:type="gramEnd"/>
      <w:r w:rsidRPr="00712193">
        <w:t xml:space="preserve"> do padrão de projeto adequa</w:t>
      </w:r>
      <w:r w:rsidRPr="00712193">
        <w:t>do ao problema a partir da especificação, sem que o nome do padrão tenha sido informado no enunciado;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garantia</w:t>
      </w:r>
      <w:proofErr w:type="gramEnd"/>
      <w:r w:rsidRPr="00712193">
        <w:t xml:space="preserve"> estrutural de que os três artefatos de um pedido pertencem sempre ao mesmo país (nenhuma combinação inválida deve ser possível de se escrever no </w:t>
      </w:r>
      <w:r w:rsidRPr="00712193">
        <w:t>código cliente sem alterar a fábrica utilizada);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implementação</w:t>
      </w:r>
      <w:proofErr w:type="gramEnd"/>
      <w:r w:rsidRPr="00712193">
        <w:t xml:space="preserve"> fiel das regras de cálculo de RF01 a RF03;</w:t>
      </w:r>
    </w:p>
    <w:p w:rsidR="000C21FB" w:rsidRPr="00712193" w:rsidRDefault="006E5D2E">
      <w:pPr>
        <w:pStyle w:val="PargrafodaLista"/>
        <w:numPr>
          <w:ilvl w:val="0"/>
          <w:numId w:val="2"/>
        </w:numPr>
        <w:spacing w:after="100"/>
      </w:pPr>
      <w:proofErr w:type="gramStart"/>
      <w:r w:rsidRPr="00712193">
        <w:t>facilidade</w:t>
      </w:r>
      <w:proofErr w:type="gramEnd"/>
      <w:r w:rsidRPr="00712193">
        <w:t xml:space="preserve"> de extensão para um quarto país, avaliada pela quantidade de classes existentes que precisariam ser alteradas.</w:t>
      </w:r>
    </w:p>
    <w:p w:rsidR="000C21FB" w:rsidRPr="00712193" w:rsidRDefault="000C21FB">
      <w:pPr>
        <w:sectPr w:rsidR="000C21FB" w:rsidRPr="0071219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C21FB" w:rsidRPr="00712193" w:rsidRDefault="006E5D2E">
      <w:pPr>
        <w:pStyle w:val="Ttulo1"/>
        <w:spacing w:before="400" w:after="200"/>
        <w:rPr>
          <w:color w:val="auto"/>
        </w:rPr>
      </w:pPr>
      <w:bookmarkStart w:id="0" w:name="_GoBack"/>
      <w:bookmarkEnd w:id="0"/>
      <w:r w:rsidRPr="00712193">
        <w:rPr>
          <w:color w:val="auto"/>
        </w:rPr>
        <w:lastRenderedPageBreak/>
        <w:t>Referências</w:t>
      </w:r>
    </w:p>
    <w:p w:rsidR="000C21FB" w:rsidRPr="00712193" w:rsidRDefault="006E5D2E">
      <w:pPr>
        <w:spacing w:after="160"/>
      </w:pPr>
      <w:r w:rsidRPr="00712193">
        <w:t>GAMMA, Erich; HELM, Richard; JOHNSON</w:t>
      </w:r>
      <w:r w:rsidRPr="00712193">
        <w:t>, Ralph; VLISSIDES, John. Design Patterns: Elements of Reusable Object-</w:t>
      </w:r>
      <w:r w:rsidRPr="00712193">
        <w:t>Oriented Software. Boston: Addison-</w:t>
      </w:r>
      <w:r w:rsidRPr="00712193">
        <w:t>Wesley, 1994.</w:t>
      </w:r>
    </w:p>
    <w:p w:rsidR="000C21FB" w:rsidRPr="00712193" w:rsidRDefault="006E5D2E">
      <w:pPr>
        <w:spacing w:after="160"/>
      </w:pPr>
      <w:r w:rsidRPr="00712193">
        <w:t>FREEMAN, Eric; ROBSON, Elisabeth. Head First Design Patterns: A Brain-</w:t>
      </w:r>
      <w:r w:rsidRPr="00712193">
        <w:t xml:space="preserve">Friendly Guide. 2. </w:t>
      </w:r>
      <w:proofErr w:type="gramStart"/>
      <w:r w:rsidRPr="00712193">
        <w:t>ed.</w:t>
      </w:r>
      <w:proofErr w:type="gramEnd"/>
      <w:r w:rsidRPr="00712193">
        <w:t xml:space="preserve"> Sebastopol: O'Reilly Media, 2020.</w:t>
      </w:r>
    </w:p>
    <w:p w:rsidR="000C21FB" w:rsidRPr="00712193" w:rsidRDefault="006E5D2E">
      <w:pPr>
        <w:spacing w:after="160"/>
      </w:pPr>
      <w:proofErr w:type="gramStart"/>
      <w:r w:rsidRPr="00712193">
        <w:t>REFACTORI</w:t>
      </w:r>
      <w:r w:rsidRPr="00712193">
        <w:t>NG.</w:t>
      </w:r>
      <w:proofErr w:type="gramEnd"/>
      <w:r w:rsidRPr="00712193">
        <w:t xml:space="preserve">GURU. Factory Method. Disponível em: </w:t>
      </w:r>
      <w:proofErr w:type="gramStart"/>
      <w:r w:rsidRPr="00712193">
        <w:t>https</w:t>
      </w:r>
      <w:proofErr w:type="gramEnd"/>
      <w:r w:rsidRPr="00712193">
        <w:t>://refactoring.guru/design-</w:t>
      </w:r>
      <w:r w:rsidRPr="00712193">
        <w:t>patterns/factory-</w:t>
      </w:r>
      <w:r w:rsidRPr="00712193">
        <w:t>method. Acesso em: 2026.</w:t>
      </w:r>
    </w:p>
    <w:p w:rsidR="000C21FB" w:rsidRPr="00712193" w:rsidRDefault="006E5D2E">
      <w:pPr>
        <w:spacing w:after="160"/>
      </w:pPr>
      <w:proofErr w:type="gramStart"/>
      <w:r w:rsidRPr="00712193">
        <w:t>REFACTORING.</w:t>
      </w:r>
      <w:proofErr w:type="gramEnd"/>
      <w:r w:rsidRPr="00712193">
        <w:t xml:space="preserve">GURU. Abstract Factory. Disponível em: </w:t>
      </w:r>
      <w:proofErr w:type="gramStart"/>
      <w:r w:rsidRPr="00712193">
        <w:t>https</w:t>
      </w:r>
      <w:proofErr w:type="gramEnd"/>
      <w:r w:rsidRPr="00712193">
        <w:t>://refactoring.guru/design-</w:t>
      </w:r>
      <w:r w:rsidRPr="00712193">
        <w:t>patterns/abstract-</w:t>
      </w:r>
      <w:r w:rsidRPr="00712193">
        <w:t>factory. Acesso em: 2026.</w:t>
      </w:r>
    </w:p>
    <w:sectPr w:rsidR="000C21FB" w:rsidRPr="007121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01186"/>
    <w:multiLevelType w:val="hybridMultilevel"/>
    <w:tmpl w:val="D494EC8E"/>
    <w:lvl w:ilvl="0" w:tplc="826E1606">
      <w:start w:val="1"/>
      <w:numFmt w:val="decimal"/>
      <w:lvlText w:val="%1."/>
      <w:lvlJc w:val="left"/>
      <w:pPr>
        <w:ind w:left="420" w:hanging="260"/>
      </w:pPr>
    </w:lvl>
    <w:lvl w:ilvl="1" w:tplc="61603178">
      <w:numFmt w:val="decimal"/>
      <w:lvlText w:val=""/>
      <w:lvlJc w:val="left"/>
    </w:lvl>
    <w:lvl w:ilvl="2" w:tplc="54CA3C78">
      <w:numFmt w:val="decimal"/>
      <w:lvlText w:val=""/>
      <w:lvlJc w:val="left"/>
    </w:lvl>
    <w:lvl w:ilvl="3" w:tplc="2F60C8CE">
      <w:numFmt w:val="decimal"/>
      <w:lvlText w:val=""/>
      <w:lvlJc w:val="left"/>
    </w:lvl>
    <w:lvl w:ilvl="4" w:tplc="0882D21A">
      <w:numFmt w:val="decimal"/>
      <w:lvlText w:val=""/>
      <w:lvlJc w:val="left"/>
    </w:lvl>
    <w:lvl w:ilvl="5" w:tplc="BE600336">
      <w:numFmt w:val="decimal"/>
      <w:lvlText w:val=""/>
      <w:lvlJc w:val="left"/>
    </w:lvl>
    <w:lvl w:ilvl="6" w:tplc="AB02DC42">
      <w:numFmt w:val="decimal"/>
      <w:lvlText w:val=""/>
      <w:lvlJc w:val="left"/>
    </w:lvl>
    <w:lvl w:ilvl="7" w:tplc="70FCD296">
      <w:numFmt w:val="decimal"/>
      <w:lvlText w:val=""/>
      <w:lvlJc w:val="left"/>
    </w:lvl>
    <w:lvl w:ilvl="8" w:tplc="7AE28D70">
      <w:numFmt w:val="decimal"/>
      <w:lvlText w:val=""/>
      <w:lvlJc w:val="left"/>
    </w:lvl>
  </w:abstractNum>
  <w:abstractNum w:abstractNumId="1">
    <w:nsid w:val="53C72D8D"/>
    <w:multiLevelType w:val="hybridMultilevel"/>
    <w:tmpl w:val="8FF89EA4"/>
    <w:lvl w:ilvl="0" w:tplc="89643D16">
      <w:start w:val="1"/>
      <w:numFmt w:val="bullet"/>
      <w:lvlText w:val="•"/>
      <w:lvlJc w:val="left"/>
      <w:pPr>
        <w:ind w:left="420" w:hanging="260"/>
      </w:pPr>
    </w:lvl>
    <w:lvl w:ilvl="1" w:tplc="C362107E">
      <w:numFmt w:val="decimal"/>
      <w:lvlText w:val=""/>
      <w:lvlJc w:val="left"/>
    </w:lvl>
    <w:lvl w:ilvl="2" w:tplc="F9C82320">
      <w:numFmt w:val="decimal"/>
      <w:lvlText w:val=""/>
      <w:lvlJc w:val="left"/>
    </w:lvl>
    <w:lvl w:ilvl="3" w:tplc="C392385E">
      <w:numFmt w:val="decimal"/>
      <w:lvlText w:val=""/>
      <w:lvlJc w:val="left"/>
    </w:lvl>
    <w:lvl w:ilvl="4" w:tplc="B8505FEE">
      <w:numFmt w:val="decimal"/>
      <w:lvlText w:val=""/>
      <w:lvlJc w:val="left"/>
    </w:lvl>
    <w:lvl w:ilvl="5" w:tplc="B7F244D4">
      <w:numFmt w:val="decimal"/>
      <w:lvlText w:val=""/>
      <w:lvlJc w:val="left"/>
    </w:lvl>
    <w:lvl w:ilvl="6" w:tplc="EFB476D8">
      <w:numFmt w:val="decimal"/>
      <w:lvlText w:val=""/>
      <w:lvlJc w:val="left"/>
    </w:lvl>
    <w:lvl w:ilvl="7" w:tplc="E132F796">
      <w:numFmt w:val="decimal"/>
      <w:lvlText w:val=""/>
      <w:lvlJc w:val="left"/>
    </w:lvl>
    <w:lvl w:ilvl="8" w:tplc="DE7853B8">
      <w:numFmt w:val="decimal"/>
      <w:lvlText w:val=""/>
      <w:lvlJc w:val="left"/>
    </w:lvl>
  </w:abstractNum>
  <w:abstractNum w:abstractNumId="2">
    <w:nsid w:val="6F350DAF"/>
    <w:multiLevelType w:val="hybridMultilevel"/>
    <w:tmpl w:val="5D945386"/>
    <w:lvl w:ilvl="0" w:tplc="C1CAF58C">
      <w:start w:val="1"/>
      <w:numFmt w:val="bullet"/>
      <w:lvlText w:val="●"/>
      <w:lvlJc w:val="left"/>
      <w:pPr>
        <w:ind w:left="720" w:hanging="360"/>
      </w:pPr>
    </w:lvl>
    <w:lvl w:ilvl="1" w:tplc="999EF338">
      <w:start w:val="1"/>
      <w:numFmt w:val="bullet"/>
      <w:lvlText w:val="○"/>
      <w:lvlJc w:val="left"/>
      <w:pPr>
        <w:ind w:left="1440" w:hanging="360"/>
      </w:pPr>
    </w:lvl>
    <w:lvl w:ilvl="2" w:tplc="6F1CE0FC">
      <w:start w:val="1"/>
      <w:numFmt w:val="bullet"/>
      <w:lvlText w:val="■"/>
      <w:lvlJc w:val="left"/>
      <w:pPr>
        <w:ind w:left="2160" w:hanging="360"/>
      </w:pPr>
    </w:lvl>
    <w:lvl w:ilvl="3" w:tplc="9FFE61AC">
      <w:start w:val="1"/>
      <w:numFmt w:val="bullet"/>
      <w:lvlText w:val="●"/>
      <w:lvlJc w:val="left"/>
      <w:pPr>
        <w:ind w:left="2880" w:hanging="360"/>
      </w:pPr>
    </w:lvl>
    <w:lvl w:ilvl="4" w:tplc="7DE2C082">
      <w:start w:val="1"/>
      <w:numFmt w:val="bullet"/>
      <w:lvlText w:val="○"/>
      <w:lvlJc w:val="left"/>
      <w:pPr>
        <w:ind w:left="3600" w:hanging="360"/>
      </w:pPr>
    </w:lvl>
    <w:lvl w:ilvl="5" w:tplc="C39E0BFA">
      <w:start w:val="1"/>
      <w:numFmt w:val="bullet"/>
      <w:lvlText w:val="■"/>
      <w:lvlJc w:val="left"/>
      <w:pPr>
        <w:ind w:left="4320" w:hanging="360"/>
      </w:pPr>
    </w:lvl>
    <w:lvl w:ilvl="6" w:tplc="BED0CA10">
      <w:start w:val="1"/>
      <w:numFmt w:val="bullet"/>
      <w:lvlText w:val="●"/>
      <w:lvlJc w:val="left"/>
      <w:pPr>
        <w:ind w:left="5040" w:hanging="360"/>
      </w:pPr>
    </w:lvl>
    <w:lvl w:ilvl="7" w:tplc="4FD069C6">
      <w:start w:val="1"/>
      <w:numFmt w:val="bullet"/>
      <w:lvlText w:val="●"/>
      <w:lvlJc w:val="left"/>
      <w:pPr>
        <w:ind w:left="5760" w:hanging="360"/>
      </w:pPr>
    </w:lvl>
    <w:lvl w:ilvl="8" w:tplc="510239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0C21FB"/>
    <w:rsid w:val="000C21FB"/>
    <w:rsid w:val="006E5D2E"/>
    <w:rsid w:val="00712193"/>
    <w:rsid w:val="008A7252"/>
    <w:rsid w:val="00E5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72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72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72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72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1395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Convexa</cp:lastModifiedBy>
  <cp:revision>3</cp:revision>
  <dcterms:created xsi:type="dcterms:W3CDTF">2026-09-01T21:35:00Z</dcterms:created>
  <dcterms:modified xsi:type="dcterms:W3CDTF">2026-09-01T21:36:00Z</dcterms:modified>
</cp:coreProperties>
</file>