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r>
        <w:t xml:space="preserve"/>
      </w:r>
    </w:p>
    <w:p>
      <w:pPr>
        <w:spacing w:after="240" w:before="0"/>
        <w:jc w:val="center"/>
      </w:pPr>
      <w:r>
        <w:rPr>
          <w:rFonts w:ascii="Arial" w:cs="Arial" w:eastAsia="Arial" w:hAnsi="Arial"/>
          <w:b/>
          <w:bCs/>
          <w:color w:val="1F4E79"/>
          <w:sz w:val="52"/>
          <w:szCs w:val="52"/>
        </w:rPr>
        <w:t xml:space="preserve">Stock Options Time Series Predictor</w:t>
      </w:r>
    </w:p>
    <w:p>
      <w:pPr>
        <w:spacing w:after="160" w:before="0"/>
        <w:jc w:val="center"/>
      </w:pPr>
      <w:r>
        <w:rPr>
          <w:rFonts w:ascii="Arial" w:cs="Arial" w:eastAsia="Arial" w:hAnsi="Arial"/>
          <w:color w:val="444444"/>
          <w:sz w:val="32"/>
          <w:szCs w:val="32"/>
        </w:rPr>
        <w:t xml:space="preserve">Continuous Build and Delivery Pipeline</w:t>
      </w:r>
    </w:p>
    <w:p>
      <w:pPr>
        <w:pBdr>
          <w:bottom w:val="single" w:color="2E75B6" w:sz="6" w:space="1"/>
        </w:pBdr>
        <w:spacing w:after="120" w:before="120"/>
      </w:pPr>
      <w:r>
        <w:t xml:space="preserve"/>
      </w:r>
    </w:p>
    <w:p>
      <w:pPr>
        <w:spacing w:after="80" w:before="160"/>
        <w:jc w:val="center"/>
      </w:pPr>
      <w:r>
        <w:rPr>
          <w:rFonts w:ascii="Arial" w:cs="Arial" w:eastAsia="Arial" w:hAnsi="Arial"/>
          <w:color w:val="555555"/>
          <w:sz w:val="22"/>
          <w:szCs w:val="22"/>
        </w:rPr>
        <w:t xml:space="preserve">Assignment 2025/26  |  Weighting: 30%</w:t>
      </w:r>
    </w:p>
    <w:p>
      <w:pPr>
        <w:spacing w:after="80" w:before="80"/>
        <w:jc w:val="center"/>
      </w:pPr>
      <w:r>
        <w:rPr>
          <w:rFonts w:ascii="Arial" w:cs="Arial" w:eastAsia="Arial" w:hAnsi="Arial"/>
          <w:color w:val="555555"/>
          <w:sz w:val="22"/>
          <w:szCs w:val="22"/>
        </w:rPr>
        <w:t xml:space="preserve">MSc Cloud Native Computing  |  TUS Athlone</w:t>
      </w:r>
    </w:p>
    <w:p>
      <w:pPr>
        <w:spacing w:after="80" w:before="80"/>
        <w:jc w:val="center"/>
      </w:pPr>
      <w:r>
        <w:rPr>
          <w:rFonts w:ascii="Arial" w:cs="Arial" w:eastAsia="Arial" w:hAnsi="Arial"/>
          <w:color w:val="555555"/>
          <w:sz w:val="22"/>
          <w:szCs w:val="22"/>
        </w:rPr>
        <w:t xml:space="preserve">Module: Continuous Build and Delivery</w:t>
      </w:r>
    </w:p>
    <w:p>
      <w:pPr>
        <w:spacing w:after="80" w:before="80"/>
        <w:jc w:val="center"/>
      </w:pPr>
      <w:r>
        <w:rPr>
          <w:rFonts w:ascii="Arial" w:cs="Arial" w:eastAsia="Arial" w:hAnsi="Arial"/>
          <w:color w:val="555555"/>
          <w:sz w:val="22"/>
          <w:szCs w:val="22"/>
        </w:rPr>
        <w:t xml:space="preserve">Student: Weverton de Souza Castanho</w:t>
      </w:r>
    </w:p>
    <w:p>
      <w:pPr>
        <w:spacing w:after="600" w:before="80"/>
        <w:jc w:val="center"/>
      </w:pPr>
      <w:r>
        <w:rPr>
          <w:rFonts w:ascii="Arial" w:cs="Arial" w:eastAsia="Arial" w:hAnsi="Arial"/>
          <w:color w:val="1F4E79"/>
          <w:sz w:val="22"/>
          <w:szCs w:val="22"/>
        </w:rPr>
        <w:t xml:space="preserve">Repository: https://github.com/wevertoncastanho/stock-predictor</w:t>
      </w:r>
    </w:p>
    <w:p>
      <w:r>
        <w:br w:type="page"/>
      </w:r>
    </w:p>
    <w:p>
      <w:pPr>
        <w:pStyle w:val="Heading1"/>
        <w:spacing w:after="160" w:before="360"/>
      </w:pPr>
      <w:r>
        <w:rPr>
          <w:rFonts w:ascii="Arial" w:cs="Arial" w:eastAsia="Arial" w:hAnsi="Arial"/>
          <w:b/>
          <w:bCs/>
          <w:color w:val="1F4E79"/>
          <w:sz w:val="32"/>
          <w:szCs w:val="32"/>
        </w:rPr>
        <w:t xml:space="preserve">1. Introduction to CI/CD</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1F4E79"/>
          <w:sz w:val="26"/>
          <w:szCs w:val="26"/>
        </w:rPr>
        <w:t xml:space="preserve">1.1 Continuous Integration vs. Continuous Delivery</w:t>
      </w:r>
    </w:p>
    <w:p>
      <w:pPr>
        <w:spacing w:after="80" w:before="80"/>
      </w:pPr>
      <w:r>
        <w:rPr>
          <w:rFonts w:ascii="Arial" w:cs="Arial" w:eastAsia="Arial" w:hAnsi="Arial"/>
          <w:color w:val="000000"/>
          <w:sz w:val="22"/>
          <w:szCs w:val="22"/>
        </w:rPr>
        <w:t xml:space="preserve">Continuous Integration (CI) is a software engineering practice in which members of a team integrate their work frequently, usually each person integrating at least daily, leading to multiple integrations per day. Each integration is verified by an automated build and automated tests to detect integration errors as quickly as possible (Fowler, 2006). The primary goal of CI is to prevent integration problems, often referred to as integration hell, by detecting defects early in the development cycle when they are least expensive to fix.</w:t>
      </w:r>
    </w:p>
    <w:p>
      <w:pPr>
        <w:spacing w:after="60" w:before="60"/>
      </w:pPr>
      <w:r>
        <w:t xml:space="preserve"/>
      </w:r>
    </w:p>
    <w:p>
      <w:pPr>
        <w:spacing w:after="80" w:before="80"/>
      </w:pPr>
      <w:r>
        <w:rPr>
          <w:rFonts w:ascii="Arial" w:cs="Arial" w:eastAsia="Arial" w:hAnsi="Arial"/>
          <w:color w:val="000000"/>
          <w:sz w:val="22"/>
          <w:szCs w:val="22"/>
        </w:rPr>
        <w:t xml:space="preserve">Continuous Delivery (CD) extends CI by ensuring that the software can be reliably released to production at any time. Humble and Farley (2010) define Continuous Delivery as a discipline in which software is built in such a way that it can be released to production at any time. This requires that every change to the system passes through an automated pipeline that includes building, testing, and packaging, culminating in a deployable artefact. Continuous Deployment goes one step further by automatically deploying every successful build to production without human intervention.</w:t>
      </w:r>
    </w:p>
    <w:p>
      <w:pPr>
        <w:spacing w:after="60" w:before="60"/>
      </w:pPr>
      <w:r>
        <w:t xml:space="preserve"/>
      </w:r>
    </w:p>
    <w:p>
      <w:pPr>
        <w:spacing w:after="80" w:before="80"/>
      </w:pPr>
      <w:r>
        <w:rPr>
          <w:rFonts w:ascii="Arial" w:cs="Arial" w:eastAsia="Arial" w:hAnsi="Arial"/>
          <w:color w:val="000000"/>
          <w:sz w:val="22"/>
          <w:szCs w:val="22"/>
        </w:rPr>
        <w:t xml:space="preserve">The key distinctions between the two practices are as follows: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Continuous Integration</w:t>
            </w:r>
          </w:p>
        </w:tc>
        <w:tc>
          <w:tcPr>
            <w:tcW w:type="dxa" w:w="3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Continuous Delivery</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Primary Goal</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Detect integration defects early</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Ensure releasability at all times</w:t>
            </w:r>
          </w:p>
        </w:tc>
      </w:tr>
      <w:tr>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Trigger</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Code commit to shared branch</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Successful CI pipeline execution</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Artefact</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Compiled and tested build</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Deployable package (JAR, image)</w:t>
            </w:r>
          </w:p>
        </w:tc>
      </w:tr>
      <w:tr>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Deployment</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Not necessarily automated</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Automated up to staging or production</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Human approval</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Not required</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Optional gate before production</w:t>
            </w:r>
          </w:p>
        </w:tc>
      </w:tr>
    </w:tbl>
    <w:p>
      <w:pPr>
        <w:spacing w:after="60" w:before="60"/>
      </w:pPr>
      <w:r>
        <w:t xml:space="preserve"/>
      </w:r>
    </w:p>
    <w:p>
      <w:pPr>
        <w:pStyle w:val="Heading2"/>
        <w:spacing w:after="120" w:before="280"/>
      </w:pPr>
      <w:r>
        <w:rPr>
          <w:rFonts w:ascii="Arial" w:cs="Arial" w:eastAsia="Arial" w:hAnsi="Arial"/>
          <w:b/>
          <w:bCs/>
          <w:color w:val="1F4E79"/>
          <w:sz w:val="26"/>
          <w:szCs w:val="26"/>
        </w:rPr>
        <w:t xml:space="preserve">1.2 State-of-the-Art Practices and Tools</w:t>
      </w:r>
    </w:p>
    <w:p>
      <w:pPr>
        <w:spacing w:after="80" w:before="80"/>
      </w:pPr>
      <w:r>
        <w:rPr>
          <w:rFonts w:ascii="Arial" w:cs="Arial" w:eastAsia="Arial" w:hAnsi="Arial"/>
          <w:color w:val="000000"/>
          <w:sz w:val="22"/>
          <w:szCs w:val="22"/>
        </w:rPr>
        <w:t xml:space="preserve">Modern CI/CD practices have converged on several foundational principles described by Forsgren, Humble and Kim (2018) in their research on high-performing DevOps organisations. These include trunk-based development, automated quality gates, shift-left testing, and infrastructure as code.</w:t>
      </w:r>
    </w:p>
    <w:p>
      <w:pPr>
        <w:spacing w:after="60" w:before="60"/>
      </w:pPr>
      <w:r>
        <w:t xml:space="preserve"/>
      </w:r>
    </w:p>
    <w:p>
      <w:pPr>
        <w:spacing w:after="80" w:before="80"/>
      </w:pPr>
      <w:r>
        <w:rPr>
          <w:rFonts w:ascii="Arial" w:cs="Arial" w:eastAsia="Arial" w:hAnsi="Arial"/>
          <w:color w:val="000000"/>
          <w:sz w:val="22"/>
          <w:szCs w:val="22"/>
        </w:rPr>
        <w:t xml:space="preserve">The following tools represent the current state-of-the-art across each pipeline stage: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rPr>
          <w:tblHeader/>
        </w:trPr>
        <w:tc>
          <w:tcPr>
            <w:tcW w:type="dxa" w:w="24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Used</w:t>
            </w:r>
          </w:p>
        </w:tc>
        <w:tc>
          <w:tcPr>
            <w:tcW w:type="dxa" w:w="4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Version Control</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GitHub</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Industry-standard distributed VCS with pull request workflow and Actions integration</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Build Automation</w:t>
            </w:r>
          </w:p>
        </w:tc>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Maven 3.9</w:t>
            </w:r>
          </w:p>
        </w:tc>
        <w:tc>
          <w:tcPr>
            <w:tcW w:type="dxa" w:w="4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Mature dependency management and lifecycle management for Java projects</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CI Server</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Jenkins / GitHub Actions</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Jenkins for on-premise flexibility; Actions for cloud-native pipelines-as-code</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Static Analysis</w:t>
            </w:r>
          </w:p>
        </w:tc>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SonarQube</w:t>
            </w:r>
          </w:p>
        </w:tc>
        <w:tc>
          <w:tcPr>
            <w:tcW w:type="dxa" w:w="4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Comprehensive quality gate enforcement with coverage, duplication, and bug detection</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Test Coverage</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JaCoCo</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Native JVM byte-code instrumentation with Maven plugin integration</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Containerisation</w:t>
            </w:r>
          </w:p>
        </w:tc>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Docker</w:t>
            </w:r>
          </w:p>
        </w:tc>
        <w:tc>
          <w:tcPr>
            <w:tcW w:type="dxa" w:w="4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OCI-compliant image standard supported by all major cloud providers</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Deployment Automation</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Ansible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Agentless, idempotent infrastructure automation using YAML playbooks</w:t>
            </w:r>
          </w:p>
        </w:tc>
      </w:tr>
    </w:tbl>
    <w:p>
      <w:pPr>
        <w:spacing w:after="60" w:before="60"/>
      </w:pPr>
      <w:r>
        <w:t xml:space="preserve"/>
      </w:r>
    </w:p>
    <w:p>
      <w:pPr>
        <w:pStyle w:val="Heading2"/>
        <w:spacing w:after="120" w:before="280"/>
      </w:pPr>
      <w:r>
        <w:rPr>
          <w:rFonts w:ascii="Arial" w:cs="Arial" w:eastAsia="Arial" w:hAnsi="Arial"/>
          <w:b/>
          <w:bCs/>
          <w:color w:val="1F4E79"/>
          <w:sz w:val="26"/>
          <w:szCs w:val="26"/>
        </w:rPr>
        <w:t xml:space="preserve">1.3 References</w:t>
      </w:r>
    </w:p>
    <w:p>
      <w:pPr>
        <w:spacing w:after="80" w:before="80"/>
      </w:pPr>
      <w:r>
        <w:rPr>
          <w:rFonts w:ascii="Arial" w:cs="Arial" w:eastAsia="Arial" w:hAnsi="Arial"/>
          <w:color w:val="000000"/>
          <w:sz w:val="22"/>
          <w:szCs w:val="22"/>
        </w:rPr>
        <w:t xml:space="preserve">Fowler, M. (2006) Continuous Integration. Available at: https://martinfowler.com/articles/continuousIntegration.html (Accessed: 19 April 2025).</w:t>
      </w:r>
    </w:p>
    <w:p>
      <w:pPr>
        <w:spacing w:after="80" w:before="80"/>
      </w:pPr>
      <w:r>
        <w:rPr>
          <w:rFonts w:ascii="Arial" w:cs="Arial" w:eastAsia="Arial" w:hAnsi="Arial"/>
          <w:color w:val="000000"/>
          <w:sz w:val="22"/>
          <w:szCs w:val="22"/>
        </w:rPr>
        <w:t xml:space="preserve">Humble, J. and Farley, D. (2010) Continuous Delivery: Reliable Software Releases through Build, Test, and Deployment Automation. Boston: Addison-Wesley.</w:t>
      </w:r>
    </w:p>
    <w:p>
      <w:pPr>
        <w:spacing w:after="80" w:before="80"/>
      </w:pPr>
      <w:r>
        <w:rPr>
          <w:rFonts w:ascii="Arial" w:cs="Arial" w:eastAsia="Arial" w:hAnsi="Arial"/>
          <w:color w:val="000000"/>
          <w:sz w:val="22"/>
          <w:szCs w:val="22"/>
        </w:rPr>
        <w:t xml:space="preserve">Forsgren, N., Humble, J. and Kim, G. (2018) Accelerate: The Science of Lean Software and DevOps. Portland: IT Revolution Press.</w:t>
      </w:r>
    </w:p>
    <w:p>
      <w:pPr>
        <w:spacing w:after="80" w:before="80"/>
      </w:pPr>
      <w:r>
        <w:rPr>
          <w:rFonts w:ascii="Arial" w:cs="Arial" w:eastAsia="Arial" w:hAnsi="Arial"/>
          <w:color w:val="000000"/>
          <w:sz w:val="22"/>
          <w:szCs w:val="22"/>
        </w:rPr>
        <w:t xml:space="preserve">Kim, G., Behr, K. and Spafford, G. (2013) The Phoenix Project: A Novel About IT, DevOps, and Helping Your Business Win. Portland: IT Revolution Press.</w:t>
      </w:r>
    </w:p>
    <w:p>
      <w:pPr>
        <w:spacing w:after="80" w:before="80"/>
      </w:pPr>
      <w:r>
        <w:rPr>
          <w:rFonts w:ascii="Arial" w:cs="Arial" w:eastAsia="Arial" w:hAnsi="Arial"/>
          <w:color w:val="000000"/>
          <w:sz w:val="22"/>
          <w:szCs w:val="22"/>
        </w:rPr>
        <w:t xml:space="preserve">SonarSource (2024) SonarQube Documentation. Available at: https://docs.sonarsource.com/sonarqube (Accessed: 19 April 2025).</w:t>
      </w:r>
    </w:p>
    <w:p>
      <w:r>
        <w:br w:type="page"/>
      </w:r>
    </w:p>
    <w:p>
      <w:pPr>
        <w:pStyle w:val="Heading1"/>
        <w:spacing w:after="160" w:before="360"/>
      </w:pPr>
      <w:r>
        <w:rPr>
          <w:rFonts w:ascii="Arial" w:cs="Arial" w:eastAsia="Arial" w:hAnsi="Arial"/>
          <w:b/>
          <w:bCs/>
          <w:color w:val="1F4E79"/>
          <w:sz w:val="32"/>
          <w:szCs w:val="32"/>
        </w:rPr>
        <w:t xml:space="preserve">2. User Stories</w:t>
      </w:r>
    </w:p>
    <w:p>
      <w:pPr>
        <w:pBdr>
          <w:bottom w:val="single" w:color="2E75B6" w:sz="6" w:space="1"/>
        </w:pBdr>
        <w:spacing w:after="120" w:before="120"/>
      </w:pPr>
      <w:r>
        <w:t xml:space="preserve"/>
      </w:r>
    </w:p>
    <w:p>
      <w:pPr>
        <w:spacing w:after="80" w:before="80"/>
      </w:pPr>
      <w:r>
        <w:rPr>
          <w:rFonts w:ascii="Arial" w:cs="Arial" w:eastAsia="Arial" w:hAnsi="Arial"/>
          <w:color w:val="000000"/>
          <w:sz w:val="22"/>
          <w:szCs w:val="22"/>
        </w:rPr>
        <w:t xml:space="preserve">The following user stories capture the functional requirements of the Stock Options Time Series Predictor microservice. Each story is written in the Who/What/Why format with associated acceptance criteria.</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US-001: EMA Price Prediction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Story</w:t>
            </w:r>
          </w:p>
        </w:tc>
        <w:tc>
          <w:tcPr>
            <w:tcW w:type="dxa" w:w="7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As a quantitative analyst, I want to request an Exponential Moving Average (EMA-14) prediction for a given stock ticker so that I can identify short-term momentum trends.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Acceptance Criteria</w:t>
            </w:r>
          </w:p>
        </w:tc>
        <w:tc>
          <w:tcPr>
            <w:tcW w:type="dxa" w:w="7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The endpoint GET /api/v1/predict/ema/{ticker} returns HTTP 200 with a JSON body containing predictedPrice, confidenceLower, confidenceUpper, mape, rmse, and a forecast array. A minimum of 14 historical records must exist for the ticker. If insufficient data exists, the API returns HTTP 400 with a descriptive error message.</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US-002: SMA Price Prediction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Story</w:t>
            </w:r>
          </w:p>
        </w:tc>
        <w:tc>
          <w:tcPr>
            <w:tcW w:type="dxa" w:w="7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As a portfolio manager, I want to obtain a Simple Moving Average (SMA-20) forecast for a stock so that I can compare it against the EMA prediction to assess trend reliability.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Acceptance Criteria</w:t>
            </w:r>
          </w:p>
        </w:tc>
        <w:tc>
          <w:tcPr>
            <w:tcW w:type="dxa" w:w="7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The endpoint GET /api/v1/predict/sma/{ticker} returns a valid PredictionResult. The method field in the response identifies SMA. Confidence bounds are always present and lower &lt; upper. Forecast array length matches the 'days' request parameter.</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US-003: Linear Regression Trend Forecast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Story</w:t>
            </w:r>
          </w:p>
        </w:tc>
        <w:tc>
          <w:tcPr>
            <w:tcW w:type="dxa" w:w="7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As a data scientist, I want to retrieve an OLS linear regression forecast so that I can evaluate the long-term price trend of a stock option.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Acceptance Criteria</w:t>
            </w:r>
          </w:p>
        </w:tc>
        <w:tc>
          <w:tcPr>
            <w:tcW w:type="dxa" w:w="7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The endpoint GET /api/v1/predict/regression/{ticker} returns a forecast computed via OLS. Forecast points are ordered chronologically. MAPE and RMSE metrics are non-negative numbers. At least 10 historical records are required.</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US-004: Historical Data Ingestion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Story</w:t>
            </w:r>
          </w:p>
        </w:tc>
        <w:tc>
          <w:tcPr>
            <w:tcW w:type="dxa" w:w="7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As a data engineer, I want to ingest historical stock price records via a REST API so that the prediction engine has sufficient training data.</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Acceptance Criteria</w:t>
            </w:r>
          </w:p>
        </w:tc>
        <w:tc>
          <w:tcPr>
            <w:tcW w:type="dxa" w:w="7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POST /api/v1/stocks returns HTTP 201 with the persisted entity. POST /api/v1/stocks/batch supports bulk insertion. All price fields (open, high, low, close) must be positive values. Missing required fields return HTTP 400.</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US-005: Ticker Discovery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Story</w:t>
            </w:r>
          </w:p>
        </w:tc>
        <w:tc>
          <w:tcPr>
            <w:tcW w:type="dxa" w:w="7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As a consumer of the API, I want to discover which ticker symbols are available so that I can make valid prediction requests.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Acceptance Criteria</w:t>
            </w:r>
          </w:p>
        </w:tc>
        <w:tc>
          <w:tcPr>
            <w:tcW w:type="dxa" w:w="7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GET /api/v1/stocks/tickers returns an alphabetically ordered JSON array of available ticker strings. The endpoint returns HTTP 200 even when the list is empty.</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US-006: Operational Health Monitoring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Story</w:t>
            </w:r>
          </w:p>
        </w:tc>
        <w:tc>
          <w:tcPr>
            <w:tcW w:type="dxa" w:w="7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As a DevOps engineer, I want a health check endpoint so that the container orchestrator can verify the service is running correctly.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Acceptance Criteria</w:t>
            </w:r>
          </w:p>
        </w:tc>
        <w:tc>
          <w:tcPr>
            <w:tcW w:type="dxa" w:w="7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GET /actuator/health returns HTTP 200 with JSON body containing status: UP when the service is operational. The Docker HEALTHCHECK directive uses this endpoint.</w:t>
            </w:r>
          </w:p>
        </w:tc>
      </w:tr>
    </w:tbl>
    <w:p>
      <w:r>
        <w:br w:type="page"/>
      </w:r>
    </w:p>
    <w:p>
      <w:pPr>
        <w:pStyle w:val="Heading1"/>
        <w:spacing w:after="160" w:before="360"/>
      </w:pPr>
      <w:r>
        <w:rPr>
          <w:rFonts w:ascii="Arial" w:cs="Arial" w:eastAsia="Arial" w:hAnsi="Arial"/>
          <w:b/>
          <w:bCs/>
          <w:color w:val="1F4E79"/>
          <w:sz w:val="32"/>
          <w:szCs w:val="32"/>
        </w:rPr>
        <w:t xml:space="preserve">3. High-Level Architecture</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1F4E79"/>
          <w:sz w:val="26"/>
          <w:szCs w:val="26"/>
        </w:rPr>
        <w:t xml:space="preserve">3.1 Application Architecture</w:t>
      </w:r>
    </w:p>
    <w:p>
      <w:pPr>
        <w:spacing w:after="80" w:before="80"/>
      </w:pPr>
      <w:r>
        <w:rPr>
          <w:rFonts w:ascii="Arial" w:cs="Arial" w:eastAsia="Arial" w:hAnsi="Arial"/>
          <w:color w:val="000000"/>
          <w:sz w:val="22"/>
          <w:szCs w:val="22"/>
        </w:rPr>
        <w:t xml:space="preserve">The Stock Options Time Series Predictor is implemented as a layered Spring Boot microservice following the standard three-tier architecture pattern. The presentation layer consists of RESTful controllers annotated with Spring MVC that handle HTTP requests and response serialisation. The service layer contains the domain logic including the three time series algorithms: Exponential Moving Average, Simple Moving Average, and Ordinary Least Squares Linear Regression. The persistence layer uses Spring Data JPA with an H2 in-memory database, making the service self-contained and suitable for containerised deployment.</w:t>
      </w:r>
    </w:p>
    <w:p>
      <w:pPr>
        <w:spacing w:after="60" w:before="60"/>
      </w:pPr>
      <w:r>
        <w:t xml:space="preserve"/>
      </w:r>
    </w:p>
    <w:p>
      <w:pPr>
        <w:spacing w:after="80" w:before="80"/>
      </w:pPr>
      <w:r>
        <w:rPr>
          <w:rFonts w:ascii="Arial" w:cs="Arial" w:eastAsia="Arial" w:hAnsi="Arial"/>
          <w:color w:val="000000"/>
          <w:sz w:val="22"/>
          <w:szCs w:val="22"/>
        </w:rPr>
        <w:t xml:space="preserve">The application exposes its API contract via SpringDoc OpenAPI (Swagger UI) at /swagger-ui.html and provides operational endpoints via Spring Boot Actuator at /actuator/health. A DataInitializer component seeds sixty days of synthetic price data for three tickers (AAPL, MSFT, GOOGL) on startup, ensuring the prediction endpoints are immediately usable without manual data ingestion.</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3.2 Component Diagram</w:t>
      </w:r>
    </w:p>
    <w:p>
      <w:pPr>
        <w:spacing w:after="80" w:before="80"/>
      </w:pPr>
      <w:r>
        <w:rPr>
          <w:rFonts w:ascii="Arial" w:cs="Arial" w:eastAsia="Arial" w:hAnsi="Arial"/>
          <w:color w:val="000000"/>
          <w:sz w:val="22"/>
          <w:szCs w:val="22"/>
        </w:rPr>
        <w:t xml:space="preserve">The following diagram illustrates the runtime components and their interactions: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F4E79" w:sz="4"/>
              <w:left w:val="single" w:color="1F4E79" w:sz="4"/>
              <w:bottom w:val="single" w:color="1F4E79" w:sz="4"/>
              <w:right w:val="single" w:color="1F4E79" w:sz="4"/>
            </w:tcBorders>
            <w:shd w:fill="EEF4FB" w:val="clear"/>
            <w:tcMar>
              <w:top w:type="dxa" w:w="200"/>
              <w:left w:type="dxa" w:w="300"/>
              <w:bottom w:type="dxa" w:w="200"/>
              <w:right w:type="dxa" w:w="300"/>
            </w:tcMar>
          </w:tcPr>
          <w:p>
            <w:pPr>
              <w:spacing w:after="80" w:before="80"/>
              <w:jc w:val="center"/>
            </w:pPr>
            <w:r>
              <w:rPr>
                <w:rFonts w:ascii="Courier New" w:cs="Courier New" w:eastAsia="Courier New" w:hAnsi="Courier New"/>
                <w:b/>
                <w:bCs/>
                <w:color w:val="1F4E79"/>
                <w:sz w:val="20"/>
                <w:szCs w:val="20"/>
              </w:rPr>
              <w:t xml:space="preserve">[ HTTP Client / Swagger UI ]</w:t>
            </w:r>
          </w:p>
          <w:p>
            <w:pPr>
              <w:spacing w:after="80" w:before="0"/>
              <w:jc w:val="center"/>
            </w:pPr>
            <w:r>
              <w:rPr>
                <w:rFonts w:ascii="Courier New" w:cs="Courier New" w:eastAsia="Courier New" w:hAnsi="Courier New"/>
                <w:color w:val="555555"/>
                <w:sz w:val="18"/>
                <w:szCs w:val="18"/>
              </w:rPr>
              <w:t xml:space="preserve">          |  REST (HTTP/JSON)</w:t>
            </w:r>
          </w:p>
          <w:p>
            <w:pPr>
              <w:spacing w:after="80" w:before="0"/>
              <w:jc w:val="center"/>
            </w:pPr>
            <w:r>
              <w:rPr>
                <w:rFonts w:ascii="Courier New" w:cs="Courier New" w:eastAsia="Courier New" w:hAnsi="Courier New"/>
                <w:color w:val="555555"/>
                <w:sz w:val="18"/>
                <w:szCs w:val="18"/>
              </w:rPr>
              <w:t xml:space="preserve">          v</w:t>
            </w:r>
          </w:p>
          <w:p>
            <w:pPr>
              <w:spacing w:after="80" w:before="0"/>
              <w:jc w:val="center"/>
            </w:pPr>
            <w:r>
              <w:rPr>
                <w:rFonts w:ascii="Courier New" w:cs="Courier New" w:eastAsia="Courier New" w:hAnsi="Courier New"/>
                <w:color w:val="000000"/>
                <w:sz w:val="18"/>
                <w:szCs w:val="18"/>
              </w:rPr>
              <w:t xml:space="preserve">+---------------------------+</w:t>
            </w:r>
          </w:p>
          <w:p>
            <w:pPr>
              <w:spacing w:after="80" w:before="0"/>
              <w:jc w:val="center"/>
            </w:pPr>
            <w:r>
              <w:rPr>
                <w:rFonts w:ascii="Courier New" w:cs="Courier New" w:eastAsia="Courier New" w:hAnsi="Courier New"/>
                <w:color w:val="000000"/>
                <w:sz w:val="18"/>
                <w:szCs w:val="18"/>
              </w:rPr>
              <w:t xml:space="preserve">|   PredictionController    |</w:t>
            </w:r>
          </w:p>
          <w:p>
            <w:pPr>
              <w:spacing w:after="80" w:before="0"/>
              <w:jc w:val="center"/>
            </w:pPr>
            <w:r>
              <w:rPr>
                <w:rFonts w:ascii="Courier New" w:cs="Courier New" w:eastAsia="Courier New" w:hAnsi="Courier New"/>
                <w:color w:val="000000"/>
                <w:sz w:val="18"/>
                <w:szCs w:val="18"/>
              </w:rPr>
              <w:t xml:space="preserve">|   StockPriceController    |  &lt;-- Presentation Layer</w:t>
            </w:r>
          </w:p>
          <w:p>
            <w:pPr>
              <w:spacing w:after="80" w:before="0"/>
              <w:jc w:val="center"/>
            </w:pPr>
            <w:r>
              <w:rPr>
                <w:rFonts w:ascii="Courier New" w:cs="Courier New" w:eastAsia="Courier New" w:hAnsi="Courier New"/>
                <w:color w:val="000000"/>
                <w:sz w:val="18"/>
                <w:szCs w:val="18"/>
              </w:rPr>
              <w:t xml:space="preserve">+---------------------------+</w:t>
            </w:r>
          </w:p>
          <w:p>
            <w:pPr>
              <w:spacing w:after="80" w:before="0"/>
              <w:jc w:val="center"/>
            </w:pPr>
            <w:r>
              <w:rPr>
                <w:rFonts w:ascii="Courier New" w:cs="Courier New" w:eastAsia="Courier New" w:hAnsi="Courier New"/>
                <w:color w:val="555555"/>
                <w:sz w:val="18"/>
                <w:szCs w:val="18"/>
              </w:rPr>
              <w:t xml:space="preserve">          |  method calls</w:t>
            </w:r>
          </w:p>
          <w:p>
            <w:pPr>
              <w:spacing w:after="80" w:before="0"/>
              <w:jc w:val="center"/>
            </w:pPr>
            <w:r>
              <w:rPr>
                <w:rFonts w:ascii="Courier New" w:cs="Courier New" w:eastAsia="Courier New" w:hAnsi="Courier New"/>
                <w:color w:val="555555"/>
                <w:sz w:val="18"/>
                <w:szCs w:val="18"/>
              </w:rPr>
              <w:t xml:space="preserve">          v</w:t>
            </w:r>
          </w:p>
          <w:p>
            <w:pPr>
              <w:spacing w:after="80" w:before="0"/>
              <w:jc w:val="center"/>
            </w:pPr>
            <w:r>
              <w:rPr>
                <w:rFonts w:ascii="Courier New" w:cs="Courier New" w:eastAsia="Courier New" w:hAnsi="Courier New"/>
                <w:color w:val="000000"/>
                <w:sz w:val="18"/>
                <w:szCs w:val="18"/>
              </w:rPr>
              <w:t xml:space="preserve">+---------------------------+</w:t>
            </w:r>
          </w:p>
          <w:p>
            <w:pPr>
              <w:spacing w:after="80" w:before="0"/>
              <w:jc w:val="center"/>
            </w:pPr>
            <w:r>
              <w:rPr>
                <w:rFonts w:ascii="Courier New" w:cs="Courier New" w:eastAsia="Courier New" w:hAnsi="Courier New"/>
                <w:color w:val="000000"/>
                <w:sz w:val="18"/>
                <w:szCs w:val="18"/>
              </w:rPr>
              <w:t xml:space="preserve">|   PredictionService       |</w:t>
            </w:r>
          </w:p>
          <w:p>
            <w:pPr>
              <w:spacing w:after="80" w:before="0"/>
              <w:jc w:val="center"/>
            </w:pPr>
            <w:r>
              <w:rPr>
                <w:rFonts w:ascii="Courier New" w:cs="Courier New" w:eastAsia="Courier New" w:hAnsi="Courier New"/>
                <w:color w:val="000000"/>
                <w:sz w:val="18"/>
                <w:szCs w:val="18"/>
              </w:rPr>
              <w:t xml:space="preserve">|   StockPriceService       |  &lt;-- Service Layer (EMA, SMA, OLS)</w:t>
            </w:r>
          </w:p>
          <w:p>
            <w:pPr>
              <w:spacing w:after="80" w:before="0"/>
              <w:jc w:val="center"/>
            </w:pPr>
            <w:r>
              <w:rPr>
                <w:rFonts w:ascii="Courier New" w:cs="Courier New" w:eastAsia="Courier New" w:hAnsi="Courier New"/>
                <w:color w:val="000000"/>
                <w:sz w:val="18"/>
                <w:szCs w:val="18"/>
              </w:rPr>
              <w:t xml:space="preserve">+---------------------------+</w:t>
            </w:r>
          </w:p>
          <w:p>
            <w:pPr>
              <w:spacing w:after="80" w:before="0"/>
              <w:jc w:val="center"/>
            </w:pPr>
            <w:r>
              <w:rPr>
                <w:rFonts w:ascii="Courier New" w:cs="Courier New" w:eastAsia="Courier New" w:hAnsi="Courier New"/>
                <w:color w:val="555555"/>
                <w:sz w:val="18"/>
                <w:szCs w:val="18"/>
              </w:rPr>
              <w:t xml:space="preserve">          |  JPA Repository</w:t>
            </w:r>
          </w:p>
          <w:p>
            <w:pPr>
              <w:spacing w:after="80" w:before="0"/>
              <w:jc w:val="center"/>
            </w:pPr>
            <w:r>
              <w:rPr>
                <w:rFonts w:ascii="Courier New" w:cs="Courier New" w:eastAsia="Courier New" w:hAnsi="Courier New"/>
                <w:color w:val="555555"/>
                <w:sz w:val="18"/>
                <w:szCs w:val="18"/>
              </w:rPr>
              <w:t xml:space="preserve">          v</w:t>
            </w:r>
          </w:p>
          <w:p>
            <w:pPr>
              <w:spacing w:after="80" w:before="0"/>
              <w:jc w:val="center"/>
            </w:pPr>
            <w:r>
              <w:rPr>
                <w:rFonts w:ascii="Courier New" w:cs="Courier New" w:eastAsia="Courier New" w:hAnsi="Courier New"/>
                <w:color w:val="000000"/>
                <w:sz w:val="18"/>
                <w:szCs w:val="18"/>
              </w:rPr>
              <w:t xml:space="preserve">+---------------------------+</w:t>
            </w:r>
          </w:p>
          <w:p>
            <w:pPr>
              <w:spacing w:after="80" w:before="0"/>
              <w:jc w:val="center"/>
            </w:pPr>
            <w:r>
              <w:rPr>
                <w:rFonts w:ascii="Courier New" w:cs="Courier New" w:eastAsia="Courier New" w:hAnsi="Courier New"/>
                <w:color w:val="000000"/>
                <w:sz w:val="18"/>
                <w:szCs w:val="18"/>
              </w:rPr>
              <w:t xml:space="preserve">|  StockPriceRepository     |  &lt;-- Persistence Layer (Spring Data JPA)</w:t>
            </w:r>
          </w:p>
          <w:p>
            <w:pPr>
              <w:spacing w:after="80" w:before="0"/>
              <w:jc w:val="center"/>
            </w:pPr>
            <w:r>
              <w:rPr>
                <w:rFonts w:ascii="Courier New" w:cs="Courier New" w:eastAsia="Courier New" w:hAnsi="Courier New"/>
                <w:color w:val="000000"/>
                <w:sz w:val="18"/>
                <w:szCs w:val="18"/>
              </w:rPr>
              <w:t xml:space="preserve">|  H2 In-Memory Database    |</w:t>
            </w:r>
          </w:p>
          <w:p>
            <w:pPr>
              <w:spacing w:after="80" w:before="0"/>
              <w:jc w:val="center"/>
            </w:pPr>
            <w:r>
              <w:rPr>
                <w:rFonts w:ascii="Courier New" w:cs="Courier New" w:eastAsia="Courier New" w:hAnsi="Courier New"/>
                <w:color w:val="000000"/>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1F4E79"/>
          <w:sz w:val="26"/>
          <w:szCs w:val="26"/>
        </w:rPr>
        <w:t xml:space="preserve">3.3 CI/CD Pipeline Architecture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F4E79" w:sz="4"/>
              <w:left w:val="single" w:color="1F4E79" w:sz="4"/>
              <w:bottom w:val="single" w:color="1F4E79" w:sz="4"/>
              <w:right w:val="single" w:color="1F4E79" w:sz="4"/>
            </w:tcBorders>
            <w:shd w:fill="EEF4FB" w:val="clear"/>
            <w:tcMar>
              <w:top w:type="dxa" w:w="200"/>
              <w:left w:type="dxa" w:w="300"/>
              <w:bottom w:type="dxa" w:w="200"/>
              <w:right w:type="dxa" w:w="300"/>
            </w:tcMar>
          </w:tcPr>
          <w:p>
            <w:pPr>
              <w:spacing w:after="60" w:before="80"/>
              <w:jc w:val="center"/>
            </w:pPr>
            <w:r>
              <w:rPr>
                <w:rFonts w:ascii="Courier New" w:cs="Courier New" w:eastAsia="Courier New" w:hAnsi="Courier New"/>
                <w:b/>
                <w:bCs/>
                <w:color w:val="1F4E79"/>
                <w:sz w:val="20"/>
                <w:szCs w:val="20"/>
              </w:rPr>
              <w:t xml:space="preserve">Developer Workstation</w:t>
            </w:r>
          </w:p>
          <w:p>
            <w:pPr>
              <w:spacing w:after="60" w:before="0"/>
              <w:jc w:val="center"/>
            </w:pPr>
            <w:r>
              <w:rPr>
                <w:rFonts w:ascii="Courier New" w:cs="Courier New" w:eastAsia="Courier New" w:hAnsi="Courier New"/>
                <w:color w:val="000000"/>
                <w:sz w:val="18"/>
                <w:szCs w:val="18"/>
              </w:rPr>
              <w:t xml:space="preserve">[git commit] --&gt; [git push] --&gt; GitHub Repository</w:t>
            </w:r>
          </w:p>
          <w:p>
            <w:pPr>
              <w:spacing w:after="60" w:before="0"/>
              <w:jc w:val="center"/>
            </w:pPr>
            <w:r>
              <w:rPr>
                <w:rFonts w:ascii="Courier New" w:cs="Courier New" w:eastAsia="Courier New" w:hAnsi="Courier New"/>
                <w:color w:val="555555"/>
                <w:sz w:val="18"/>
                <w:szCs w:val="18"/>
              </w:rPr>
              <w:t xml:space="preserve">                                       |</w:t>
            </w:r>
          </w:p>
          <w:p>
            <w:pPr>
              <w:spacing w:after="60" w:before="0"/>
              <w:jc w:val="center"/>
            </w:pPr>
            <w:r>
              <w:rPr>
                <w:rFonts w:ascii="Courier New" w:cs="Courier New" w:eastAsia="Courier New" w:hAnsi="Courier New"/>
                <w:color w:val="555555"/>
                <w:sz w:val="18"/>
                <w:szCs w:val="18"/>
              </w:rPr>
              <w:t xml:space="preserve">                              webhook trigger</w:t>
            </w:r>
          </w:p>
          <w:p>
            <w:pPr>
              <w:spacing w:after="60" w:before="0"/>
              <w:jc w:val="center"/>
            </w:pPr>
            <w:r>
              <w:rPr>
                <w:rFonts w:ascii="Courier New" w:cs="Courier New" w:eastAsia="Courier New" w:hAnsi="Courier New"/>
                <w:color w:val="555555"/>
                <w:sz w:val="18"/>
                <w:szCs w:val="18"/>
              </w:rPr>
              <w:t xml:space="preserve">                                       |</w:t>
            </w:r>
          </w:p>
          <w:p>
            <w:pPr>
              <w:spacing w:after="60" w:before="0"/>
              <w:jc w:val="center"/>
            </w:pPr>
            <w:r>
              <w:rPr>
                <w:rFonts w:ascii="Courier New" w:cs="Courier New" w:eastAsia="Courier New" w:hAnsi="Courier New"/>
                <w:color w:val="555555"/>
                <w:sz w:val="18"/>
                <w:szCs w:val="18"/>
              </w:rPr>
              <w:t xml:space="preserve">                                       v</w:t>
            </w:r>
          </w:p>
          <w:p>
            <w:pPr>
              <w:spacing w:after="60" w:before="0"/>
              <w:jc w:val="center"/>
            </w:pPr>
            <w:r>
              <w:rPr>
                <w:rFonts w:ascii="Courier New" w:cs="Courier New" w:eastAsia="Courier New" w:hAnsi="Courier New"/>
                <w:b/>
                <w:bCs/>
                <w:color w:val="1F4E79"/>
                <w:sz w:val="20"/>
                <w:szCs w:val="20"/>
              </w:rPr>
              <w:t xml:space="preserve">Jenkins Pipeline / GitHub Actions</w:t>
            </w:r>
          </w:p>
          <w:p>
            <w:pPr>
              <w:spacing w:after="60" w:before="0"/>
              <w:jc w:val="center"/>
            </w:pPr>
            <w:r>
              <w:rPr>
                <w:rFonts w:ascii="Courier New" w:cs="Courier New" w:eastAsia="Courier New" w:hAnsi="Courier New"/>
                <w:color w:val="000000"/>
                <w:sz w:val="18"/>
                <w:szCs w:val="18"/>
              </w:rPr>
              <w:t xml:space="preserve">[Checkout] -&gt; [Build] -&gt; [Unit Test] -&gt; [Integration Test]</w:t>
            </w:r>
          </w:p>
          <w:p>
            <w:pPr>
              <w:spacing w:after="60" w:before="0"/>
              <w:jc w:val="center"/>
            </w:pPr>
            <w:r>
              <w:rPr>
                <w:rFonts w:ascii="Courier New" w:cs="Courier New" w:eastAsia="Courier New" w:hAnsi="Courier New"/>
                <w:color w:val="000000"/>
                <w:sz w:val="18"/>
                <w:szCs w:val="18"/>
              </w:rPr>
              <w:t xml:space="preserve">     -&gt; [SonarQube] -&gt; [Quality Gate] -&gt; [Docker Build] -&gt; [Deploy]</w:t>
            </w:r>
          </w:p>
          <w:p>
            <w:pPr>
              <w:spacing w:after="60" w:before="0"/>
              <w:jc w:val="center"/>
            </w:pPr>
            <w:r>
              <w:rPr>
                <w:rFonts w:ascii="Courier New" w:cs="Courier New" w:eastAsia="Courier New" w:hAnsi="Courier New"/>
                <w:color w:val="555555"/>
                <w:sz w:val="18"/>
                <w:szCs w:val="18"/>
              </w:rPr>
              <w:t xml:space="preserve">                |                                          |</w:t>
            </w:r>
          </w:p>
          <w:p>
            <w:pPr>
              <w:spacing w:after="60" w:before="0"/>
              <w:jc w:val="center"/>
            </w:pPr>
            <w:r>
              <w:rPr>
                <w:rFonts w:ascii="Courier New" w:cs="Courier New" w:eastAsia="Courier New" w:hAnsi="Courier New"/>
                <w:color w:val="555555"/>
                <w:sz w:val="18"/>
                <w:szCs w:val="18"/>
              </w:rPr>
              <w:t xml:space="preserve">           SonarQube Server                      Docker Container</w:t>
            </w:r>
          </w:p>
          <w:p>
            <w:pPr>
              <w:spacing w:after="80" w:before="0"/>
              <w:jc w:val="center"/>
            </w:pPr>
            <w:r>
              <w:rPr>
                <w:rFonts w:ascii="Courier New" w:cs="Courier New" w:eastAsia="Courier New" w:hAnsi="Courier New"/>
                <w:color w:val="555555"/>
                <w:sz w:val="18"/>
                <w:szCs w:val="18"/>
              </w:rPr>
              <w:t xml:space="preserve">         (localhost:9000)                         (localhost:8080)</w:t>
            </w:r>
          </w:p>
        </w:tc>
      </w:tr>
    </w:tbl>
    <w:p>
      <w:r>
        <w:br w:type="page"/>
      </w:r>
    </w:p>
    <w:p>
      <w:pPr>
        <w:pStyle w:val="Heading1"/>
        <w:spacing w:after="160" w:before="360"/>
      </w:pPr>
      <w:r>
        <w:rPr>
          <w:rFonts w:ascii="Arial" w:cs="Arial" w:eastAsia="Arial" w:hAnsi="Arial"/>
          <w:b/>
          <w:bCs/>
          <w:color w:val="1F4E79"/>
          <w:sz w:val="32"/>
          <w:szCs w:val="32"/>
        </w:rPr>
        <w:t xml:space="preserve">4. Test Strategy</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1F4E79"/>
          <w:sz w:val="26"/>
          <w:szCs w:val="26"/>
        </w:rPr>
        <w:t xml:space="preserve">4.1 Alignment with the Test Pyramid</w:t>
      </w:r>
    </w:p>
    <w:p>
      <w:pPr>
        <w:spacing w:after="80" w:before="80"/>
      </w:pPr>
      <w:r>
        <w:rPr>
          <w:rFonts w:ascii="Arial" w:cs="Arial" w:eastAsia="Arial" w:hAnsi="Arial"/>
          <w:color w:val="000000"/>
          <w:sz w:val="22"/>
          <w:szCs w:val="22"/>
        </w:rPr>
        <w:t xml:space="preserve">The testing strategy for this microservice is structured according to the Test Pyramid model introduced by Cohn (2009). The pyramid prescribes a large base of fast, isolated unit tests, a narrower middle band of integration tests, and an optional apex of end-to-end tests. This distribution maximises test coverage while minimising execution time and flakiness.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24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4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Unit Tests (Base)</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PredictionServiceTest</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JUnit 5 + Mockito</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 tests</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Integration Tests (Middle)</w:t>
            </w:r>
          </w:p>
        </w:tc>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PredictionControllerIntegrationTest</w:t>
            </w:r>
          </w:p>
        </w:tc>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MockMvc + Spring Boot Test</w:t>
            </w:r>
          </w:p>
        </w:tc>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10 tests</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End-to-End (Optional Apex)</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Container smoke test in pipeline</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curl / Docker HEALTHCHECK</w:t>
            </w:r>
          </w:p>
        </w:tc>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check</w:t>
            </w:r>
          </w:p>
        </w:tc>
      </w:tr>
    </w:tbl>
    <w:p>
      <w:pPr>
        <w:spacing w:after="60" w:before="60"/>
      </w:pPr>
      <w:r>
        <w:t xml:space="preserve"/>
      </w:r>
    </w:p>
    <w:p>
      <w:pPr>
        <w:pStyle w:val="Heading2"/>
        <w:spacing w:after="120" w:before="280"/>
      </w:pPr>
      <w:r>
        <w:rPr>
          <w:rFonts w:ascii="Arial" w:cs="Arial" w:eastAsia="Arial" w:hAnsi="Arial"/>
          <w:b/>
          <w:bCs/>
          <w:color w:val="1F4E79"/>
          <w:sz w:val="26"/>
          <w:szCs w:val="26"/>
        </w:rPr>
        <w:t xml:space="preserve">4.2 Unit Tests - PredictionServiceTest</w:t>
      </w:r>
    </w:p>
    <w:p>
      <w:pPr>
        <w:spacing w:after="80" w:before="80"/>
      </w:pPr>
      <w:r>
        <w:rPr>
          <w:rFonts w:ascii="Arial" w:cs="Arial" w:eastAsia="Arial" w:hAnsi="Arial"/>
          <w:color w:val="000000"/>
          <w:sz w:val="22"/>
          <w:szCs w:val="22"/>
        </w:rPr>
        <w:t xml:space="preserve">Unit tests operate in isolation by mocking the StockPriceRepository with Mockito. They verify the correctness of each time series algorithm independently of the database and the HTTP layer. Key scenarios covered include:</w:t>
      </w:r>
    </w:p>
    <w:p>
      <w:pPr>
        <w:pStyle w:val="ListParagraph"/>
        <w:numPr>
          <w:ilvl w:val="0"/>
          <w:numId w:val="2"/>
        </w:numPr>
        <w:spacing w:after="60" w:before="60"/>
      </w:pPr>
      <w:r>
        <w:rPr>
          <w:rFonts w:ascii="Arial" w:cs="Arial" w:eastAsia="Arial" w:hAnsi="Arial"/>
          <w:sz w:val="22"/>
          <w:szCs w:val="22"/>
        </w:rPr>
        <w:t xml:space="preserve">EMA prediction returns a valid PredictionResult with the correct ticker symbol</w:t>
      </w:r>
    </w:p>
    <w:p>
      <w:pPr>
        <w:pStyle w:val="ListParagraph"/>
        <w:numPr>
          <w:ilvl w:val="0"/>
          <w:numId w:val="2"/>
        </w:numPr>
        <w:spacing w:after="60" w:before="60"/>
      </w:pPr>
      <w:r>
        <w:rPr>
          <w:rFonts w:ascii="Arial" w:cs="Arial" w:eastAsia="Arial" w:hAnsi="Arial"/>
          <w:sz w:val="22"/>
          <w:szCs w:val="22"/>
        </w:rPr>
        <w:t xml:space="preserve">EMA confidence interval: confidenceLower is always less than confidenceUpper</w:t>
      </w:r>
    </w:p>
    <w:p>
      <w:pPr>
        <w:pStyle w:val="ListParagraph"/>
        <w:numPr>
          <w:ilvl w:val="0"/>
          <w:numId w:val="2"/>
        </w:numPr>
        <w:spacing w:after="60" w:before="60"/>
      </w:pPr>
      <w:r>
        <w:rPr>
          <w:rFonts w:ascii="Arial" w:cs="Arial" w:eastAsia="Arial" w:hAnsi="Arial"/>
          <w:sz w:val="22"/>
          <w:szCs w:val="22"/>
        </w:rPr>
        <w:t xml:space="preserve">EMA forecast array length matches the requested forecast days parameter</w:t>
      </w:r>
    </w:p>
    <w:p>
      <w:pPr>
        <w:pStyle w:val="ListParagraph"/>
        <w:numPr>
          <w:ilvl w:val="0"/>
          <w:numId w:val="2"/>
        </w:numPr>
        <w:spacing w:after="60" w:before="60"/>
      </w:pPr>
      <w:r>
        <w:rPr>
          <w:rFonts w:ascii="Arial" w:cs="Arial" w:eastAsia="Arial" w:hAnsi="Arial"/>
          <w:sz w:val="22"/>
          <w:szCs w:val="22"/>
        </w:rPr>
        <w:t xml:space="preserve">SMA prediction returns a result with the method field identifying SMA</w:t>
      </w:r>
    </w:p>
    <w:p>
      <w:pPr>
        <w:pStyle w:val="ListParagraph"/>
        <w:numPr>
          <w:ilvl w:val="0"/>
          <w:numId w:val="2"/>
        </w:numPr>
        <w:spacing w:after="60" w:before="60"/>
      </w:pPr>
      <w:r>
        <w:rPr>
          <w:rFonts w:ascii="Arial" w:cs="Arial" w:eastAsia="Arial" w:hAnsi="Arial"/>
          <w:sz w:val="22"/>
          <w:szCs w:val="22"/>
        </w:rPr>
        <w:t xml:space="preserve">Linear regression prediction returns trend-based forecast points</w:t>
      </w:r>
    </w:p>
    <w:p>
      <w:pPr>
        <w:pStyle w:val="ListParagraph"/>
        <w:numPr>
          <w:ilvl w:val="0"/>
          <w:numId w:val="2"/>
        </w:numPr>
        <w:spacing w:after="60" w:before="60"/>
      </w:pPr>
      <w:r>
        <w:rPr>
          <w:rFonts w:ascii="Arial" w:cs="Arial" w:eastAsia="Arial" w:hAnsi="Arial"/>
          <w:sz w:val="22"/>
          <w:szCs w:val="22"/>
        </w:rPr>
        <w:t xml:space="preserve">EMA and SMA raise IllegalArgumentException when fewer than 14 or 20 records exist</w:t>
      </w:r>
    </w:p>
    <w:p>
      <w:pPr>
        <w:pStyle w:val="ListParagraph"/>
        <w:numPr>
          <w:ilvl w:val="0"/>
          <w:numId w:val="2"/>
        </w:numPr>
        <w:spacing w:after="60" w:before="60"/>
      </w:pPr>
      <w:r>
        <w:rPr>
          <w:rFonts w:ascii="Arial" w:cs="Arial" w:eastAsia="Arial" w:hAnsi="Arial"/>
          <w:sz w:val="22"/>
          <w:szCs w:val="22"/>
        </w:rPr>
        <w:t xml:space="preserve">EMA list size is mathematically correct relative to the window period</w:t>
      </w:r>
    </w:p>
    <w:p>
      <w:pPr>
        <w:pStyle w:val="ListParagraph"/>
        <w:numPr>
          <w:ilvl w:val="0"/>
          <w:numId w:val="2"/>
        </w:numPr>
        <w:spacing w:after="60" w:before="60"/>
      </w:pPr>
      <w:r>
        <w:rPr>
          <w:rFonts w:ascii="Arial" w:cs="Arial" w:eastAsia="Arial" w:hAnsi="Arial"/>
          <w:sz w:val="22"/>
          <w:szCs w:val="22"/>
        </w:rPr>
        <w:t xml:space="preserve">SMA values are within the expected price range for constant input</w:t>
      </w:r>
    </w:p>
    <w:p>
      <w:pPr>
        <w:pStyle w:val="ListParagraph"/>
        <w:numPr>
          <w:ilvl w:val="0"/>
          <w:numId w:val="2"/>
        </w:numPr>
        <w:spacing w:after="60" w:before="60"/>
      </w:pPr>
      <w:r>
        <w:rPr>
          <w:rFonts w:ascii="Arial" w:cs="Arial" w:eastAsia="Arial" w:hAnsi="Arial"/>
          <w:sz w:val="22"/>
          <w:szCs w:val="22"/>
        </w:rPr>
        <w:t xml:space="preserve">MAPE and RMSE are non-negative numeric values</w:t>
      </w:r>
    </w:p>
    <w:p>
      <w:pPr>
        <w:pStyle w:val="ListParagraph"/>
        <w:numPr>
          <w:ilvl w:val="0"/>
          <w:numId w:val="2"/>
        </w:numPr>
        <w:spacing w:after="60" w:before="60"/>
      </w:pPr>
      <w:r>
        <w:rPr>
          <w:rFonts w:ascii="Arial" w:cs="Arial" w:eastAsia="Arial" w:hAnsi="Arial"/>
          <w:sz w:val="22"/>
          <w:szCs w:val="22"/>
        </w:rPr>
        <w:t xml:space="preserve">Standard deviation is positive for a set of varying prices</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4.3 Integration Tests - PredictionControllerIntegrationTest</w:t>
      </w:r>
    </w:p>
    <w:p>
      <w:pPr>
        <w:spacing w:after="80" w:before="80"/>
      </w:pPr>
      <w:r>
        <w:rPr>
          <w:rFonts w:ascii="Arial" w:cs="Arial" w:eastAsia="Arial" w:hAnsi="Arial"/>
          <w:color w:val="000000"/>
          <w:sz w:val="22"/>
          <w:szCs w:val="22"/>
        </w:rPr>
        <w:t xml:space="preserve">Integration tests load the full Spring application context using @SpringBootTest and exercise the HTTP layer via MockMvc. They validate end-to-end request processing including controller routing, service execution, JSON serialisation, and error handling. Key scenarios covered include:</w:t>
      </w:r>
    </w:p>
    <w:p>
      <w:pPr>
        <w:pStyle w:val="ListParagraph"/>
        <w:numPr>
          <w:ilvl w:val="0"/>
          <w:numId w:val="2"/>
        </w:numPr>
        <w:spacing w:after="60" w:before="60"/>
      </w:pPr>
      <w:r>
        <w:rPr>
          <w:rFonts w:ascii="Arial" w:cs="Arial" w:eastAsia="Arial" w:hAnsi="Arial"/>
          <w:sz w:val="22"/>
          <w:szCs w:val="22"/>
        </w:rPr>
        <w:t xml:space="preserve">GET /api/v1/predict/ema/AAPL returns HTTP 200 with a valid prediction JSON body</w:t>
      </w:r>
    </w:p>
    <w:p>
      <w:pPr>
        <w:pStyle w:val="ListParagraph"/>
        <w:numPr>
          <w:ilvl w:val="0"/>
          <w:numId w:val="2"/>
        </w:numPr>
        <w:spacing w:after="60" w:before="60"/>
      </w:pPr>
      <w:r>
        <w:rPr>
          <w:rFonts w:ascii="Arial" w:cs="Arial" w:eastAsia="Arial" w:hAnsi="Arial"/>
          <w:sz w:val="22"/>
          <w:szCs w:val="22"/>
        </w:rPr>
        <w:t xml:space="preserve">GET /api/v1/predict/sma/MSFT returns HTTP 200 with SMA method identified</w:t>
      </w:r>
    </w:p>
    <w:p>
      <w:pPr>
        <w:pStyle w:val="ListParagraph"/>
        <w:numPr>
          <w:ilvl w:val="0"/>
          <w:numId w:val="2"/>
        </w:numPr>
        <w:spacing w:after="60" w:before="60"/>
      </w:pPr>
      <w:r>
        <w:rPr>
          <w:rFonts w:ascii="Arial" w:cs="Arial" w:eastAsia="Arial" w:hAnsi="Arial"/>
          <w:sz w:val="22"/>
          <w:szCs w:val="22"/>
        </w:rPr>
        <w:t xml:space="preserve">GET /api/v1/predict/regression/GOOGL returns MAPE and RMSE as numeric fields</w:t>
      </w:r>
    </w:p>
    <w:p>
      <w:pPr>
        <w:pStyle w:val="ListParagraph"/>
        <w:numPr>
          <w:ilvl w:val="0"/>
          <w:numId w:val="2"/>
        </w:numPr>
        <w:spacing w:after="60" w:before="60"/>
      </w:pPr>
      <w:r>
        <w:rPr>
          <w:rFonts w:ascii="Arial" w:cs="Arial" w:eastAsia="Arial" w:hAnsi="Arial"/>
          <w:sz w:val="22"/>
          <w:szCs w:val="22"/>
        </w:rPr>
        <w:t xml:space="preserve">GET /api/v1/predict/ema/UNKNOWN returns HTTP 400 for insufficient data</w:t>
      </w:r>
    </w:p>
    <w:p>
      <w:pPr>
        <w:pStyle w:val="ListParagraph"/>
        <w:numPr>
          <w:ilvl w:val="0"/>
          <w:numId w:val="2"/>
        </w:numPr>
        <w:spacing w:after="60" w:before="60"/>
      </w:pPr>
      <w:r>
        <w:rPr>
          <w:rFonts w:ascii="Arial" w:cs="Arial" w:eastAsia="Arial" w:hAnsi="Arial"/>
          <w:sz w:val="22"/>
          <w:szCs w:val="22"/>
        </w:rPr>
        <w:t xml:space="preserve">GET /api/v1/stocks/tickers returns an array of available ticker strings</w:t>
      </w:r>
    </w:p>
    <w:p>
      <w:pPr>
        <w:pStyle w:val="ListParagraph"/>
        <w:numPr>
          <w:ilvl w:val="0"/>
          <w:numId w:val="2"/>
        </w:numPr>
        <w:spacing w:after="60" w:before="60"/>
      </w:pPr>
      <w:r>
        <w:rPr>
          <w:rFonts w:ascii="Arial" w:cs="Arial" w:eastAsia="Arial" w:hAnsi="Arial"/>
          <w:sz w:val="22"/>
          <w:szCs w:val="22"/>
        </w:rPr>
        <w:t xml:space="preserve">GET /api/v1/stocks/AAPL returns historical price array with correct ticker</w:t>
      </w:r>
    </w:p>
    <w:p>
      <w:pPr>
        <w:pStyle w:val="ListParagraph"/>
        <w:numPr>
          <w:ilvl w:val="0"/>
          <w:numId w:val="2"/>
        </w:numPr>
        <w:spacing w:after="60" w:before="60"/>
      </w:pPr>
      <w:r>
        <w:rPr>
          <w:rFonts w:ascii="Arial" w:cs="Arial" w:eastAsia="Arial" w:hAnsi="Arial"/>
          <w:sz w:val="22"/>
          <w:szCs w:val="22"/>
        </w:rPr>
        <w:t xml:space="preserve">POST /api/v1/stocks creates a new record and returns HTTP 201</w:t>
      </w:r>
    </w:p>
    <w:p>
      <w:pPr>
        <w:pStyle w:val="ListParagraph"/>
        <w:numPr>
          <w:ilvl w:val="0"/>
          <w:numId w:val="2"/>
        </w:numPr>
        <w:spacing w:after="60" w:before="60"/>
      </w:pPr>
      <w:r>
        <w:rPr>
          <w:rFonts w:ascii="Arial" w:cs="Arial" w:eastAsia="Arial" w:hAnsi="Arial"/>
          <w:sz w:val="22"/>
          <w:szCs w:val="22"/>
        </w:rPr>
        <w:t xml:space="preserve">POST /api/v1/stocks returns HTTP 400 when required fields are missing</w:t>
      </w:r>
    </w:p>
    <w:p>
      <w:pPr>
        <w:pStyle w:val="ListParagraph"/>
        <w:numPr>
          <w:ilvl w:val="0"/>
          <w:numId w:val="2"/>
        </w:numPr>
        <w:spacing w:after="60" w:before="60"/>
      </w:pPr>
      <w:r>
        <w:rPr>
          <w:rFonts w:ascii="Arial" w:cs="Arial" w:eastAsia="Arial" w:hAnsi="Arial"/>
          <w:sz w:val="22"/>
          <w:szCs w:val="22"/>
        </w:rPr>
        <w:t xml:space="preserve">GET /actuator/health returns HTTP 200 with status UP</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4.4 Coverage Enforcement</w:t>
      </w:r>
    </w:p>
    <w:p>
      <w:pPr>
        <w:spacing w:after="80" w:before="80"/>
      </w:pPr>
      <w:r>
        <w:rPr>
          <w:rFonts w:ascii="Arial" w:cs="Arial" w:eastAsia="Arial" w:hAnsi="Arial"/>
          <w:color w:val="000000"/>
          <w:sz w:val="22"/>
          <w:szCs w:val="22"/>
        </w:rPr>
        <w:t xml:space="preserve">JaCoCo is configured as a Maven plugin and enforces a minimum line coverage ratio of 70% as a quality gate. The Maven verify phase fails if coverage drops below this threshold. Coverage reports are generated in XML format (target/site/jacoco/jacoco.xml) for consumption by SonarQube. The DataInitializer and model classes are excluded from the coverage requirement to focus enforcement on testable business logic.</w:t>
      </w:r>
    </w:p>
    <w:p>
      <w:r>
        <w:br w:type="page"/>
      </w:r>
    </w:p>
    <w:p>
      <w:pPr>
        <w:pStyle w:val="Heading1"/>
        <w:spacing w:after="160" w:before="360"/>
      </w:pPr>
      <w:r>
        <w:rPr>
          <w:rFonts w:ascii="Arial" w:cs="Arial" w:eastAsia="Arial" w:hAnsi="Arial"/>
          <w:b/>
          <w:bCs/>
          <w:color w:val="1F4E79"/>
          <w:sz w:val="32"/>
          <w:szCs w:val="32"/>
        </w:rPr>
        <w:t xml:space="preserve">5. Pipeline Description</w:t>
      </w:r>
    </w:p>
    <w:p>
      <w:pPr>
        <w:pBdr>
          <w:bottom w:val="single" w:color="2E75B6" w:sz="6" w:space="1"/>
        </w:pBdr>
        <w:spacing w:after="120" w:before="120"/>
      </w:pPr>
      <w:r>
        <w:t xml:space="preserve"/>
      </w:r>
    </w:p>
    <w:p>
      <w:pPr>
        <w:spacing w:after="80" w:before="80"/>
      </w:pPr>
      <w:r>
        <w:rPr>
          <w:rFonts w:ascii="Arial" w:cs="Arial" w:eastAsia="Arial" w:hAnsi="Arial"/>
          <w:color w:val="000000"/>
          <w:sz w:val="22"/>
          <w:szCs w:val="22"/>
        </w:rPr>
        <w:t xml:space="preserve">The pipeline is defined as code in a Jenkinsfile at the root of the repository and is mirrored by a GitHub Actions workflow at .github/workflows/ci-cd.yml. Every stage is configured to fail fast: if any stage exits with a non-zero status code, the pipeline is aborted and all subsequent stages are skipped.</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1: Checkout</w:t>
      </w:r>
    </w:p>
    <w:p>
      <w:pPr>
        <w:spacing w:after="80" w:before="80"/>
      </w:pPr>
      <w:r>
        <w:rPr>
          <w:rFonts w:ascii="Arial" w:cs="Arial" w:eastAsia="Arial" w:hAnsi="Arial"/>
          <w:color w:val="000000"/>
          <w:sz w:val="22"/>
          <w:szCs w:val="22"/>
        </w:rPr>
        <w:t xml:space="preserve">The pipeline begins by cloning the repository from GitHub using the configured SCM credentials. The commit SHA is logged to the console to ensure traceability between the screencast demonstration and the repository history. Key command: git log --oneline -5. The stage ensures that the workspace is always synchronised with the remote branch before any build activity commences.</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2: Build</w:t>
      </w:r>
    </w:p>
    <w:p>
      <w:pPr>
        <w:spacing w:after="80" w:before="80"/>
      </w:pPr>
      <w:r>
        <w:rPr>
          <w:rFonts w:ascii="Arial" w:cs="Arial" w:eastAsia="Arial" w:hAnsi="Arial"/>
          <w:color w:val="000000"/>
          <w:sz w:val="22"/>
          <w:szCs w:val="22"/>
        </w:rPr>
        <w:t xml:space="preserve">Maven compiles the source code and packages it into an executable JAR artefact using the spring-boot-maven-plugin. Tests are skipped at this stage intentionally to separate compilation from verification concerns. Key command: mvn clean package -DskipTests -B. The resulting JAR (target/stock-predictor-1.0.0.jar) is archived as a build artefact and fingerprinted for downstream stages.</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3: Unit Tests</w:t>
      </w:r>
    </w:p>
    <w:p>
      <w:pPr>
        <w:spacing w:after="80" w:before="80"/>
      </w:pPr>
      <w:r>
        <w:rPr>
          <w:rFonts w:ascii="Arial" w:cs="Arial" w:eastAsia="Arial" w:hAnsi="Arial"/>
          <w:color w:val="000000"/>
          <w:sz w:val="22"/>
          <w:szCs w:val="22"/>
        </w:rPr>
        <w:t xml:space="preserve">JUnit 5 unit tests are executed via the Maven surefire plugin. Tests are isolated from the Spring context using Mockito mocks for repository dependencies. Key command: mvn test -B. Test results are published using the Jenkins JUnit publisher, making pass/fail results visible in the pipeline dashboard. The stage fails the pipeline if any test fails.</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4: Integration Tests</w:t>
      </w:r>
    </w:p>
    <w:p>
      <w:pPr>
        <w:spacing w:after="80" w:before="80"/>
      </w:pPr>
      <w:r>
        <w:rPr>
          <w:rFonts w:ascii="Arial" w:cs="Arial" w:eastAsia="Arial" w:hAnsi="Arial"/>
          <w:color w:val="000000"/>
          <w:sz w:val="22"/>
          <w:szCs w:val="22"/>
        </w:rPr>
        <w:t xml:space="preserve">Spring Boot integration tests are executed using the Maven failsafe plugin via the verify lifecycle phase. The full Spring application context is loaded using an H2 in-memory database, and HTTP requests are dispatched through MockMvc. Key command: mvn verify -B. JaCoCo code coverage data is collected during this phase and published to Jenkins. The pipeline fails if line coverage drops below 70%.</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5: Code Quality Analysis - SonarQube</w:t>
      </w:r>
    </w:p>
    <w:p>
      <w:pPr>
        <w:spacing w:after="80" w:before="80"/>
      </w:pPr>
      <w:r>
        <w:rPr>
          <w:rFonts w:ascii="Arial" w:cs="Arial" w:eastAsia="Arial" w:hAnsi="Arial"/>
          <w:color w:val="000000"/>
          <w:sz w:val="22"/>
          <w:szCs w:val="22"/>
        </w:rPr>
        <w:t xml:space="preserve">The Maven SonarQube plugin is invoked to perform static code analysis, including bug detection, code smell identification, duplication measurement, and security hotspot scanning. Key command: mvn sonar:sonar -Dsonar.host.url=... -Dsonar.token=... -Dsonar.coverage.jacoco.xmlReportPaths=target/site/jacoco/jacoco.xml. The JaCoCo XML report is consumed by SonarQube to display test coverage inline with source code in the SonarQube dashboard.</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6: Quality Gate</w:t>
      </w:r>
    </w:p>
    <w:p>
      <w:pPr>
        <w:spacing w:after="80" w:before="80"/>
      </w:pPr>
      <w:r>
        <w:rPr>
          <w:rFonts w:ascii="Arial" w:cs="Arial" w:eastAsia="Arial" w:hAnsi="Arial"/>
          <w:color w:val="000000"/>
          <w:sz w:val="22"/>
          <w:szCs w:val="22"/>
        </w:rPr>
        <w:t xml:space="preserve">The pipeline pauses and queries the SonarQube API to retrieve the quality gate status for the current analysis. The quality gate is configured with the following criteria: minimum line coverage of 70%, zero blocker issues, and zero critical vulnerabilities. Key command: waitForQualityGate abortPipeline: true. If the gate fails, the pipeline is aborted and the Docker build stage is never reached, preventing unqualified code from being containerised.</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7: Docker Image Build</w:t>
      </w:r>
    </w:p>
    <w:p>
      <w:pPr>
        <w:spacing w:after="80" w:before="80"/>
      </w:pPr>
      <w:r>
        <w:rPr>
          <w:rFonts w:ascii="Arial" w:cs="Arial" w:eastAsia="Arial" w:hAnsi="Arial"/>
          <w:color w:val="000000"/>
          <w:sz w:val="22"/>
          <w:szCs w:val="22"/>
        </w:rPr>
        <w:t xml:space="preserve">A multi-stage Dockerfile is used to build the Docker image. The first stage uses the Maven builder image to compile the application, and the second stage copies only the JAR into a lightweight Eclipse Temurin JRE Alpine image. Key commands: docker build -t stock-predictor:${BUILD_NUMBER} . and docker tag stock-predictor:${BUILD_NUMBER} stock-predictor:latest. A non-root user (appuser) is created in the image to follow the principle of least privilege.</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Stage 8: Deploy</w:t>
      </w:r>
    </w:p>
    <w:p>
      <w:pPr>
        <w:spacing w:after="80" w:before="80"/>
      </w:pPr>
      <w:r>
        <w:rPr>
          <w:rFonts w:ascii="Arial" w:cs="Arial" w:eastAsia="Arial" w:hAnsi="Arial"/>
          <w:color w:val="000000"/>
          <w:sz w:val="22"/>
          <w:szCs w:val="22"/>
        </w:rPr>
        <w:t xml:space="preserve">The deployment stage stops and removes any existing container with the same name, then starts the new container from the freshly built image. A 20-second startup window is allowed before a health check is performed against /actuator/health. Key commands: docker stop stock-predictor, docker run -d --name stock-predictor -p 8080:8080 stock-predictor:latest, curl --fail http://localhost:8080/actuator/health. Ansible (deploy.yml) provides an equivalent idempotent deployment for infrastructure environments.</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5.1 Pipeline Stage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160"/>
        <w:gridCol w:w="2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Command / Tool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Fail Condition</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Artefact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Checkout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git checkout / scm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SCM error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Source tree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Build</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mvn clean package -DskipTests</w:t>
            </w:r>
          </w:p>
        </w:tc>
        <w:tc>
          <w:tcPr>
            <w:tcW w:type="dxa" w:w="2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Compile error</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*.jar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Unit Tests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mvn test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Test failure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Surefire XML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Integration Tests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mvn verify</w:t>
            </w:r>
          </w:p>
        </w:tc>
        <w:tc>
          <w:tcPr>
            <w:tcW w:type="dxa" w:w="2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Test failure / coverage &lt; 70%</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JaCoCo XML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SonarQube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mvn sonar:sonar</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Analysis error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SQ report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Quality Gate</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waitForQualityGate</w:t>
            </w:r>
          </w:p>
        </w:tc>
        <w:tc>
          <w:tcPr>
            <w:tcW w:type="dxa" w:w="2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Gate fails</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Docker Build</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docker build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Image build error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Docker image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Deploy</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docker run + health check</w:t>
            </w:r>
          </w:p>
        </w:tc>
        <w:tc>
          <w:tcPr>
            <w:tcW w:type="dxa" w:w="21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Health check fails</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Running container</w:t>
            </w:r>
          </w:p>
        </w:tc>
      </w:tr>
    </w:tbl>
    <w:p>
      <w:r>
        <w:br w:type="page"/>
      </w:r>
    </w:p>
    <w:p>
      <w:pPr>
        <w:pStyle w:val="Heading1"/>
        <w:spacing w:after="160" w:before="360"/>
      </w:pPr>
      <w:r>
        <w:rPr>
          <w:rFonts w:ascii="Arial" w:cs="Arial" w:eastAsia="Arial" w:hAnsi="Arial"/>
          <w:b/>
          <w:bCs/>
          <w:color w:val="1F4E79"/>
          <w:sz w:val="32"/>
          <w:szCs w:val="32"/>
        </w:rPr>
        <w:t xml:space="preserve">6. Evaluation and Reflection</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1F4E79"/>
          <w:sz w:val="26"/>
          <w:szCs w:val="26"/>
        </w:rPr>
        <w:t xml:space="preserve">6.1 Pipeline Execution Time</w:t>
      </w:r>
    </w:p>
    <w:p>
      <w:pPr>
        <w:spacing w:after="80" w:before="80"/>
      </w:pPr>
      <w:r>
        <w:rPr>
          <w:rFonts w:ascii="Arial" w:cs="Arial" w:eastAsia="Arial" w:hAnsi="Arial"/>
          <w:color w:val="000000"/>
          <w:sz w:val="22"/>
          <w:szCs w:val="22"/>
        </w:rPr>
        <w:t xml:space="preserve">Based on local machine benchmarks, the estimated end-to-end pipeline execution time is broken down as follows: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Duration</w:t>
            </w:r>
          </w:p>
        </w:tc>
        <w:tc>
          <w:tcPr>
            <w:tcW w:type="dxa" w:w="3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Checkout</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5-10 seconds</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Dependent on network and repo size</w:t>
            </w:r>
          </w:p>
        </w:tc>
      </w:tr>
      <w:tr>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Build (mvn package)</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60-90 seconds</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First run downloads dependencies</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Unit Tests</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10-15 seconds</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20 fast Mockito-isolated tests</w:t>
            </w:r>
          </w:p>
        </w:tc>
      </w:tr>
      <w:tr>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Integration Tests</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30-45 seconds</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Spring context boot adds overhead</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SonarQube Analysis</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30-60 seconds</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Network call to SonarQube server</w:t>
            </w:r>
          </w:p>
        </w:tc>
      </w:tr>
      <w:tr>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Quality Gate check</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5-15 seconds</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API polling with up to 5 retries</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Docker Build</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60-120 seconds</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Multi-stage, faster with layer cache</w:t>
            </w:r>
          </w:p>
        </w:tc>
      </w:tr>
      <w:tr>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Deploy + health check</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30-40 seconds</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20s startup window + curl probe</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Total (estimated)</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~4 to 7 minutes</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Varies with cache and hardware</w:t>
            </w:r>
          </w:p>
        </w:tc>
      </w:tr>
    </w:tbl>
    <w:p>
      <w:pPr>
        <w:spacing w:after="60" w:before="60"/>
      </w:pPr>
      <w:r>
        <w:t xml:space="preserve"/>
      </w:r>
    </w:p>
    <w:p>
      <w:pPr>
        <w:spacing w:after="80" w:before="80"/>
      </w:pPr>
      <w:r>
        <w:rPr>
          <w:rFonts w:ascii="Arial" w:cs="Arial" w:eastAsia="Arial" w:hAnsi="Arial"/>
          <w:color w:val="000000"/>
          <w:sz w:val="22"/>
          <w:szCs w:val="22"/>
        </w:rPr>
        <w:t xml:space="preserve">The pipeline achieves a high level of automation: every stage from code push to running container is executed without human intervention. The only optional manual gate would be a production approval step, which has been intentionally omitted from the current implementation scope.</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6.2 Conscious Trade-Off: Speed vs. Coverage</w:t>
      </w:r>
    </w:p>
    <w:p>
      <w:pPr>
        <w:spacing w:after="80" w:before="80"/>
      </w:pPr>
      <w:r>
        <w:rPr>
          <w:rFonts w:ascii="Arial" w:cs="Arial" w:eastAsia="Arial" w:hAnsi="Arial"/>
          <w:color w:val="000000"/>
          <w:sz w:val="22"/>
          <w:szCs w:val="22"/>
        </w:rPr>
        <w:t xml:space="preserve">A deliberate trade-off was made regarding the separation of unit and integration test phases. Running all tests in a single Maven command (mvn verify) would reduce total execution time by approximately 30 to 45 seconds because the Spring application context would only be loaded once. However, this approach conflates unit and integration test results, making it harder to identify at which level a failure occurred. The decision was made to prioritise diagnostic clarity over pipeline speed.</w:t>
      </w:r>
    </w:p>
    <w:p>
      <w:pPr>
        <w:spacing w:after="60" w:before="60"/>
      </w:pPr>
      <w:r>
        <w:t xml:space="preserve"/>
      </w:r>
    </w:p>
    <w:p>
      <w:pPr>
        <w:spacing w:after="80" w:before="80"/>
      </w:pPr>
      <w:r>
        <w:rPr>
          <w:rFonts w:ascii="Arial" w:cs="Arial" w:eastAsia="Arial" w:hAnsi="Arial"/>
          <w:color w:val="000000"/>
          <w:sz w:val="22"/>
          <w:szCs w:val="22"/>
        </w:rPr>
        <w:t xml:space="preserve">A second trade-off concerns the choice of H2 as the persistence store. H2 simplifies the pipeline significantly because no external database container must be provisioned, started, and health-checked before tests can run. The trade-off is that H2 is not representative of a production relational database, and subtle dialect differences (particularly around date functions and index behaviour) could allow bugs to pass the test suite that would be caught by a PostgreSQL or MySQL integration test environment.</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6.3 Identified Limitations</w:t>
      </w:r>
    </w:p>
    <w:p>
      <w:pPr>
        <w:pStyle w:val="ListParagraph"/>
        <w:numPr>
          <w:ilvl w:val="0"/>
          <w:numId w:val="2"/>
        </w:numPr>
        <w:spacing w:after="60" w:before="60"/>
      </w:pPr>
      <w:r>
        <w:rPr>
          <w:rFonts w:ascii="Arial" w:cs="Arial" w:eastAsia="Arial" w:hAnsi="Arial"/>
          <w:sz w:val="22"/>
          <w:szCs w:val="22"/>
        </w:rPr>
        <w:t xml:space="preserve">The H2 in-memory database is reset on each application restart, meaning historical data is not persisted between deployments. A production deployment would require an external database with a migration tool such as Flyway or Liquibase.</w:t>
      </w:r>
    </w:p>
    <w:p>
      <w:pPr>
        <w:pStyle w:val="ListParagraph"/>
        <w:numPr>
          <w:ilvl w:val="0"/>
          <w:numId w:val="2"/>
        </w:numPr>
        <w:spacing w:after="60" w:before="60"/>
      </w:pPr>
      <w:r>
        <w:rPr>
          <w:rFonts w:ascii="Arial" w:cs="Arial" w:eastAsia="Arial" w:hAnsi="Arial"/>
          <w:sz w:val="22"/>
          <w:szCs w:val="22"/>
        </w:rPr>
        <w:t xml:space="preserve">The time series algorithms (EMA, SMA, OLS) are deterministic and do not account for volatility clustering or non-stationarity. More sophisticated models such as ARIMA or LSTM neural networks would produce more accurate financial forecasts.</w:t>
      </w:r>
    </w:p>
    <w:p>
      <w:pPr>
        <w:pStyle w:val="ListParagraph"/>
        <w:numPr>
          <w:ilvl w:val="0"/>
          <w:numId w:val="2"/>
        </w:numPr>
        <w:spacing w:after="60" w:before="60"/>
      </w:pPr>
      <w:r>
        <w:rPr>
          <w:rFonts w:ascii="Arial" w:cs="Arial" w:eastAsia="Arial" w:hAnsi="Arial"/>
          <w:sz w:val="22"/>
          <w:szCs w:val="22"/>
        </w:rPr>
        <w:t xml:space="preserve">The SonarQube instance runs locally. In a team environment, a shared hosted instance (e.g., SonarCloud) would be required to centralise quality gate results across developers.</w:t>
      </w:r>
    </w:p>
    <w:p>
      <w:pPr>
        <w:pStyle w:val="ListParagraph"/>
        <w:numPr>
          <w:ilvl w:val="0"/>
          <w:numId w:val="2"/>
        </w:numPr>
        <w:spacing w:after="60" w:before="60"/>
      </w:pPr>
      <w:r>
        <w:rPr>
          <w:rFonts w:ascii="Arial" w:cs="Arial" w:eastAsia="Arial" w:hAnsi="Arial"/>
          <w:sz w:val="22"/>
          <w:szCs w:val="22"/>
        </w:rPr>
        <w:t xml:space="preserve">The pipeline does not include a rollback mechanism. If the deployed container fails its health check after a period of use, the previous image is not automatically restored.</w:t>
      </w:r>
    </w:p>
    <w:p>
      <w:pPr>
        <w:spacing w:after="60" w:before="60"/>
      </w:pPr>
      <w:r>
        <w:t xml:space="preserve"/>
      </w:r>
    </w:p>
    <w:p>
      <w:pPr>
        <w:pStyle w:val="Heading2"/>
        <w:spacing w:after="120" w:before="280"/>
      </w:pPr>
      <w:r>
        <w:rPr>
          <w:rFonts w:ascii="Arial" w:cs="Arial" w:eastAsia="Arial" w:hAnsi="Arial"/>
          <w:b/>
          <w:bCs/>
          <w:color w:val="1F4E79"/>
          <w:sz w:val="26"/>
          <w:szCs w:val="26"/>
        </w:rPr>
        <w:t xml:space="preserve">6.4 Suggested Improvements</w:t>
      </w:r>
    </w:p>
    <w:p>
      <w:pPr>
        <w:pStyle w:val="ListParagraph"/>
        <w:numPr>
          <w:ilvl w:val="0"/>
          <w:numId w:val="2"/>
        </w:numPr>
        <w:spacing w:after="60" w:before="60"/>
      </w:pPr>
      <w:r>
        <w:rPr>
          <w:rFonts w:ascii="Arial" w:cs="Arial" w:eastAsia="Arial" w:hAnsi="Arial"/>
          <w:sz w:val="22"/>
          <w:szCs w:val="22"/>
        </w:rPr>
        <w:t xml:space="preserve">Replace H2 with PostgreSQL using Testcontainers for integration tests. Testcontainers spins up a real Docker-based PostgreSQL instance during the test phase, providing full dialect fidelity without requiring a persistent external database.</w:t>
      </w:r>
    </w:p>
    <w:p>
      <w:pPr>
        <w:pStyle w:val="ListParagraph"/>
        <w:numPr>
          <w:ilvl w:val="0"/>
          <w:numId w:val="2"/>
        </w:numPr>
        <w:spacing w:after="60" w:before="60"/>
      </w:pPr>
      <w:r>
        <w:rPr>
          <w:rFonts w:ascii="Arial" w:cs="Arial" w:eastAsia="Arial" w:hAnsi="Arial"/>
          <w:sz w:val="22"/>
          <w:szCs w:val="22"/>
        </w:rPr>
        <w:t xml:space="preserve">Introduce a canary deployment strategy using Docker Swarm or Kubernetes. A percentage of traffic would be routed to the new container before the old one is terminated, reducing the risk of a failed deployment impacting all users.</w:t>
      </w:r>
    </w:p>
    <w:p>
      <w:pPr>
        <w:pStyle w:val="ListParagraph"/>
        <w:numPr>
          <w:ilvl w:val="0"/>
          <w:numId w:val="2"/>
        </w:numPr>
        <w:spacing w:after="60" w:before="60"/>
      </w:pPr>
      <w:r>
        <w:rPr>
          <w:rFonts w:ascii="Arial" w:cs="Arial" w:eastAsia="Arial" w:hAnsi="Arial"/>
          <w:sz w:val="22"/>
          <w:szCs w:val="22"/>
        </w:rPr>
        <w:t xml:space="preserve">Add a performance testing stage using Gatling or k6. Load tests would run after integration tests and before the Docker build to detect regressions in response time before the image is published.</w:t>
      </w:r>
    </w:p>
    <w:p>
      <w:pPr>
        <w:pStyle w:val="ListParagraph"/>
        <w:numPr>
          <w:ilvl w:val="0"/>
          <w:numId w:val="2"/>
        </w:numPr>
        <w:spacing w:after="60" w:before="60"/>
      </w:pPr>
      <w:r>
        <w:rPr>
          <w:rFonts w:ascii="Arial" w:cs="Arial" w:eastAsia="Arial" w:hAnsi="Arial"/>
          <w:sz w:val="22"/>
          <w:szCs w:val="22"/>
        </w:rPr>
        <w:t xml:space="preserve">Migrate to SonarCloud for hosted, zero-infrastructure code quality analysis with integration into GitHub pull request checks.</w:t>
      </w:r>
    </w:p>
    <w:p>
      <w:pPr>
        <w:pStyle w:val="ListParagraph"/>
        <w:numPr>
          <w:ilvl w:val="0"/>
          <w:numId w:val="2"/>
        </w:numPr>
        <w:spacing w:after="60" w:before="60"/>
      </w:pPr>
      <w:r>
        <w:rPr>
          <w:rFonts w:ascii="Arial" w:cs="Arial" w:eastAsia="Arial" w:hAnsi="Arial"/>
          <w:sz w:val="22"/>
          <w:szCs w:val="22"/>
        </w:rPr>
        <w:t xml:space="preserve">Implement semantic versioning (SemVer) for Docker image tags based on Git tags, replacing the current BUILD_NUMBER approach. This would improve traceability between deployed images and source code commits.</w:t>
      </w:r>
    </w:p>
    <w:p>
      <w:r>
        <w:br w:type="page"/>
      </w:r>
    </w:p>
    <w:p>
      <w:pPr>
        <w:pStyle w:val="Heading1"/>
        <w:spacing w:after="160" w:before="360"/>
      </w:pPr>
      <w:r>
        <w:rPr>
          <w:rFonts w:ascii="Arial" w:cs="Arial" w:eastAsia="Arial" w:hAnsi="Arial"/>
          <w:b/>
          <w:bCs/>
          <w:color w:val="1F4E79"/>
          <w:sz w:val="32"/>
          <w:szCs w:val="32"/>
        </w:rPr>
        <w:t xml:space="preserve">7. Repository</w:t>
      </w:r>
    </w:p>
    <w:p>
      <w:pPr>
        <w:pBdr>
          <w:bottom w:val="single" w:color="2E75B6" w:sz="6" w:space="1"/>
        </w:pBdr>
        <w:spacing w:after="120" w:before="120"/>
      </w:pPr>
      <w:r>
        <w:t xml:space="preserve"/>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7290"/>
      </w:tblGrid>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Repository URL</w:t>
            </w:r>
          </w:p>
        </w:tc>
        <w:tc>
          <w:tcPr>
            <w:tcW w:type="dxa" w:w="72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https://github.com/wevertoncastanho/stock-predictor</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Branch</w:t>
            </w:r>
          </w:p>
        </w:tc>
        <w:tc>
          <w:tcPr>
            <w:tcW w:type="dxa" w:w="729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main</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Visibility</w:t>
            </w:r>
          </w:p>
        </w:tc>
        <w:tc>
          <w:tcPr>
            <w:tcW w:type="dxa" w:w="72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Public</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Pipeline file</w:t>
            </w:r>
          </w:p>
        </w:tc>
        <w:tc>
          <w:tcPr>
            <w:tcW w:type="dxa" w:w="729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Jenkinsfile (root directory)</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GitHub Actions</w:t>
            </w:r>
          </w:p>
        </w:tc>
        <w:tc>
          <w:tcPr>
            <w:tcW w:type="dxa" w:w="72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.github/workflows/ci-cd.yml</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Dockerfile</w:t>
            </w:r>
          </w:p>
        </w:tc>
        <w:tc>
          <w:tcPr>
            <w:tcW w:type="dxa" w:w="729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Dockerfile (root directory)</w:t>
            </w:r>
          </w:p>
        </w:tc>
      </w:tr>
      <w:tr>
        <w:tc>
          <w:tcPr>
            <w:tcW w:type="dxa" w:w="24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Ansible playbook</w:t>
            </w:r>
          </w:p>
        </w:tc>
        <w:tc>
          <w:tcPr>
            <w:tcW w:type="dxa" w:w="72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ansible/deploy.yml</w:t>
            </w:r>
          </w:p>
        </w:tc>
      </w:tr>
      <w:tr>
        <w:tc>
          <w:tcPr>
            <w:tcW w:type="dxa" w:w="243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SonarQube config</w:t>
            </w:r>
          </w:p>
        </w:tc>
        <w:tc>
          <w:tcPr>
            <w:tcW w:type="dxa" w:w="729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sonar/sonar-project.properties</w:t>
            </w:r>
          </w:p>
        </w:tc>
      </w:tr>
    </w:tbl>
    <w:p>
      <w:pPr>
        <w:spacing w:after="60" w:before="60"/>
      </w:pPr>
      <w:r>
        <w:t xml:space="preserve"/>
      </w:r>
    </w:p>
    <w:p>
      <w:pPr>
        <w:spacing w:after="80" w:before="80"/>
      </w:pPr>
      <w:r>
        <w:rPr>
          <w:rFonts w:ascii="Arial" w:cs="Arial" w:eastAsia="Arial" w:hAnsi="Arial"/>
          <w:color w:val="000000"/>
          <w:sz w:val="22"/>
          <w:szCs w:val="22"/>
        </w:rPr>
        <w:t xml:space="preserve">The repository contains all source code, the Jenkinsfile pipeline definition, the GitHub Actions workflow, the Dockerfile, the Ansible deployment playbook, and this report. The commit history reflects incremental development of each feature: data model, repository, service algorithms, REST controllers, tests, and CI/CD configuration. The screencast demonstration references a specific commit identifiable by its commit message in the repository history.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720"/>
      </w:tabs>
      <w:spacing w:before="120"/>
    </w:pPr>
    <w:r>
      <w:rPr>
        <w:rFonts w:ascii="Arial" w:cs="Arial" w:eastAsia="Arial" w:hAnsi="Arial"/>
        <w:color w:val="666666"/>
        <w:sz w:val="16"/>
        <w:szCs w:val="16"/>
      </w:rPr>
      <w:t xml:space="preserve">TUS Athlone - MSc Cloud Native Computing</w:t>
    </w:r>
    <w:r>
      <w:rPr>
        <w:rFonts w:ascii="Arial" w:cs="Arial" w:eastAsia="Arial" w:hAnsi="Arial"/>
        <w:color w:val="666666"/>
        <w:sz w:val="16"/>
        <w:szCs w:val="16"/>
      </w:rPr>
      <w:t xml:space="preserve">	Page </w:t>
    </w:r>
    <w:r>
      <w:rPr>
        <w:rFonts w:ascii="Arial" w:cs="Arial" w:eastAsia="Arial" w:hAnsi="Arial"/>
        <w:color w:val="666666"/>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720"/>
      </w:tabs>
      <w:spacing w:after="120"/>
    </w:pPr>
    <w:r>
      <w:rPr>
        <w:rFonts w:ascii="Arial" w:cs="Arial" w:eastAsia="Arial" w:hAnsi="Arial"/>
        <w:b/>
        <w:bCs/>
        <w:color w:val="1F4E79"/>
        <w:sz w:val="18"/>
        <w:szCs w:val="18"/>
      </w:rPr>
      <w:t xml:space="preserve">Stock Options Time Series Predictor</w:t>
    </w:r>
    <w:r>
      <w:rPr>
        <w:rFonts w:ascii="Arial" w:cs="Arial" w:eastAsia="Arial" w:hAnsi="Arial"/>
        <w:color w:val="666666"/>
        <w:sz w:val="16"/>
        <w:szCs w:val="16"/>
      </w:rPr>
      <w:t xml:space="preserve">	Continuous Build and Delivery - Assignment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2026-04-19T22:47:06.953Z</dcterms:created>
  <dcterms:modified xsi:type="dcterms:W3CDTF">2026-04-19T22:47:06.954Z</dcterms:modified>
</cp:coreProperties>
</file>

<file path=docProps/custom.xml><?xml version="1.0" encoding="utf-8"?>
<Properties xmlns="http://schemas.openxmlformats.org/officeDocument/2006/custom-properties" xmlns:vt="http://schemas.openxmlformats.org/officeDocument/2006/docPropsVTypes"/>
</file>