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jc w:val="center"/>
      </w:pPr>
      <w:r>
        <w:rPr>
          <w:b/>
          <w:bCs/>
          <w:sz w:val="50"/>
          <w:szCs w:val="50"/>
        </w:rPr>
        <w:t xml:space="preserve">MLB Analyst Platform</w:t>
      </w:r>
    </w:p>
    <w:p>
      <w:pPr>
        <w:spacing w:after="200"/>
        <w:jc w:val="center"/>
      </w:pPr>
      <w:r>
        <w:rPr>
          <w:b/>
          <w:bCs/>
          <w:color w:val="1F4E79"/>
          <w:sz w:val="40"/>
          <w:szCs w:val="40"/>
        </w:rPr>
        <w:t xml:space="preserve">Bring-Up Runbook</w:t>
      </w:r>
    </w:p>
    <w:p>
      <w:pPr>
        <w:spacing w:after="300"/>
        <w:jc w:val="center"/>
      </w:pPr>
      <w:r>
        <w:rPr>
          <w:sz w:val="22"/>
          <w:szCs w:val="22"/>
        </w:rPr>
        <w:t xml:space="preserve">Everything required to get the site loading fast and serving real data</w:t>
      </w:r>
    </w:p>
    <w:p>
      <w:pPr>
        <w:spacing w:after="100"/>
        <w:jc w:val="center"/>
      </w:pPr>
      <w:r>
        <w:rPr>
          <w:color w:val="666666"/>
          <w:sz w:val="20"/>
          <w:szCs w:val="20"/>
        </w:rPr>
        <w:t xml:space="preserve">Replit app SuperficialTealErrors  |  github.com/wevilly/2026MLB  |  2026-08-24</w:t>
      </w:r>
    </w:p>
    <w:p>
      <w:pPr>
        <w:spacing w:after="600"/>
        <w:jc w:val="center"/>
      </w:pPr>
      <w:r>
        <w:rPr>
          <w:color w:val="666666"/>
          <w:sz w:val="20"/>
          <w:szCs w:val="20"/>
        </w:rPr>
        <w:t xml:space="preserve">7 phases  |  Phases A to D give a working site  |  Phase E is optional and may not be reachable today</w:t>
      </w:r>
    </w:p>
    <w:p>
      <w:r>
        <w:br w:type="page"/>
      </w:r>
    </w:p>
    <w:p>
      <w:pPr>
        <w:pStyle w:val="Heading1"/>
        <w:spacing w:after="160" w:before="360"/>
      </w:pPr>
      <w:r>
        <w:t xml:space="preserve">Before you start: what working means</w:t>
      </w:r>
    </w:p>
    <w:p>
      <w:pPr>
        <w:spacing w:after="120"/>
      </w:pPr>
      <w:r>
        <w:rPr>
          <w:sz w:val="21"/>
          <w:szCs w:val="21"/>
        </w:rPr>
        <w:t xml:space="preserve">The site already runs. Three artifact workflows are up, the frontend renders, and it has been telling the truth about its own state the whole time. What is broken sits underneath the interface, and it is worth being precise about it so you know what success looks like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shd w:fill="D9E2F3" w:color="auto" w:val="clear"/>
            <w:tcMar>
              <w:top w:type="dxa" w:w="60"/>
              <w:left w:type="dxa" w:w="100"/>
              <w:bottom w:type="dxa" w:w="60"/>
              <w:right w:type="dxa" w:w="100"/>
            </w:tcMar>
          </w:tcPr>
          <w:p>
            <w:r>
              <w:rPr>
                <w:b/>
                <w:bCs/>
                <w:sz w:val="18"/>
                <w:szCs w:val="18"/>
              </w:rPr>
              <w:t xml:space="preserve">What is wrong now</w:t>
            </w:r>
          </w:p>
        </w:tc>
        <w:tc>
          <w:tcPr>
            <w:tcW w:type="dxa" w:w="3560"/>
            <w:shd w:fill="D9E2F3" w:color="auto" w:val="clear"/>
            <w:tcMar>
              <w:top w:type="dxa" w:w="60"/>
              <w:left w:type="dxa" w:w="100"/>
              <w:bottom w:type="dxa" w:w="60"/>
              <w:right w:type="dxa" w:w="100"/>
            </w:tcMar>
          </w:tcPr>
          <w:p>
            <w:r>
              <w:rPr>
                <w:b/>
                <w:bCs/>
                <w:sz w:val="18"/>
                <w:szCs w:val="18"/>
              </w:rPr>
              <w:t xml:space="preserve">Effect you can see</w:t>
            </w:r>
          </w:p>
        </w:tc>
        <w:tc>
          <w:tcPr>
            <w:tcW w:type="dxa" w:w="2400"/>
            <w:shd w:fill="D9E2F3" w:color="auto" w:val="clear"/>
            <w:tcMar>
              <w:top w:type="dxa" w:w="60"/>
              <w:left w:type="dxa" w:w="100"/>
              <w:bottom w:type="dxa" w:w="60"/>
              <w:right w:type="dxa" w:w="100"/>
            </w:tcMar>
          </w:tcPr>
          <w:p>
            <w:r>
              <w:rPr>
                <w:b/>
                <w:bCs/>
                <w:sz w:val="18"/>
                <w:szCs w:val="18"/>
              </w:rPr>
              <w:t xml:space="preserve">Fixed in</w:t>
            </w:r>
          </w:p>
        </w:tc>
      </w:tr>
      <w:tr>
        <w:tc>
          <w:tcPr>
            <w:tcW w:type="dxa" w:w="3400"/>
            <w:tcMar>
              <w:top w:type="dxa" w:w="60"/>
              <w:left w:type="dxa" w:w="100"/>
              <w:bottom w:type="dxa" w:w="60"/>
              <w:right w:type="dxa" w:w="100"/>
            </w:tcMar>
          </w:tcPr>
          <w:p>
            <w:r>
              <w:rPr>
                <w:b w:val="false"/>
                <w:bCs w:val="false"/>
                <w:sz w:val="18"/>
                <w:szCs w:val="18"/>
              </w:rPr>
              <w:t xml:space="preserve">Two schema objects were never created, because a drizzle push aborted on an interactive prompt</w:t>
            </w:r>
          </w:p>
        </w:tc>
        <w:tc>
          <w:tcPr>
            <w:tcW w:type="dxa" w:w="3560"/>
            <w:tcMar>
              <w:top w:type="dxa" w:w="60"/>
              <w:left w:type="dxa" w:w="100"/>
              <w:bottom w:type="dxa" w:w="60"/>
              <w:right w:type="dxa" w:w="100"/>
            </w:tcMar>
          </w:tcPr>
          <w:p>
            <w:r>
              <w:rPr>
                <w:b w:val="false"/>
                <w:bCs w:val="false"/>
                <w:sz w:val="18"/>
                <w:szCs w:val="18"/>
              </w:rPr>
              <w:t xml:space="preserve">Weather reads and settlement inserts throw on missing objects. Any pipeline run that reaches them fails.</w:t>
            </w:r>
          </w:p>
        </w:tc>
        <w:tc>
          <w:tcPr>
            <w:tcW w:type="dxa" w:w="2400"/>
            <w:tcMar>
              <w:top w:type="dxa" w:w="60"/>
              <w:left w:type="dxa" w:w="100"/>
              <w:bottom w:type="dxa" w:w="60"/>
              <w:right w:type="dxa" w:w="100"/>
            </w:tcMar>
          </w:tcPr>
          <w:p>
            <w:r>
              <w:rPr>
                <w:b w:val="false"/>
                <w:bCs w:val="false"/>
                <w:sz w:val="18"/>
                <w:szCs w:val="18"/>
              </w:rPr>
              <w:t xml:space="preserve">Phase B</w:t>
            </w:r>
          </w:p>
        </w:tc>
      </w:tr>
      <w:tr>
        <w:tc>
          <w:tcPr>
            <w:tcW w:type="dxa" w:w="3400"/>
            <w:tcMar>
              <w:top w:type="dxa" w:w="60"/>
              <w:left w:type="dxa" w:w="100"/>
              <w:bottom w:type="dxa" w:w="60"/>
              <w:right w:type="dxa" w:w="100"/>
            </w:tcMar>
          </w:tcPr>
          <w:p>
            <w:r>
              <w:rPr>
                <w:b w:val="false"/>
                <w:bCs w:val="false"/>
                <w:sz w:val="18"/>
                <w:szCs w:val="18"/>
              </w:rPr>
              <w:t xml:space="preserve">players.throws is overwritten with an empty string, so the platoon layer silently degrades</w:t>
            </w:r>
          </w:p>
        </w:tc>
        <w:tc>
          <w:tcPr>
            <w:tcW w:type="dxa" w:w="3560"/>
            <w:tcMar>
              <w:top w:type="dxa" w:w="60"/>
              <w:left w:type="dxa" w:w="100"/>
              <w:bottom w:type="dxa" w:w="60"/>
              <w:right w:type="dxa" w:w="100"/>
            </w:tcMar>
          </w:tcPr>
          <w:p>
            <w:r>
              <w:rPr>
                <w:b w:val="false"/>
                <w:bCs w:val="false"/>
                <w:sz w:val="18"/>
                <w:szCs w:val="18"/>
              </w:rPr>
              <w:t xml:space="preserve">Split metrics quietly resolve to unsplit season lines. Park and weather sit on top of it.</w:t>
            </w:r>
          </w:p>
        </w:tc>
        <w:tc>
          <w:tcPr>
            <w:tcW w:type="dxa" w:w="2400"/>
            <w:tcMar>
              <w:top w:type="dxa" w:w="60"/>
              <w:left w:type="dxa" w:w="100"/>
              <w:bottom w:type="dxa" w:w="60"/>
              <w:right w:type="dxa" w:w="100"/>
            </w:tcMar>
          </w:tcPr>
          <w:p>
            <w:r>
              <w:rPr>
                <w:b w:val="false"/>
                <w:bCs w:val="false"/>
                <w:sz w:val="18"/>
                <w:szCs w:val="18"/>
              </w:rPr>
              <w:t xml:space="preserve">Phase C</w:t>
            </w:r>
          </w:p>
        </w:tc>
      </w:tr>
      <w:tr>
        <w:tc>
          <w:tcPr>
            <w:tcW w:type="dxa" w:w="3400"/>
            <w:tcMar>
              <w:top w:type="dxa" w:w="60"/>
              <w:left w:type="dxa" w:w="100"/>
              <w:bottom w:type="dxa" w:w="60"/>
              <w:right w:type="dxa" w:w="100"/>
            </w:tcMar>
          </w:tcPr>
          <w:p>
            <w:r>
              <w:rPr>
                <w:b w:val="false"/>
                <w:bCs w:val="false"/>
                <w:sz w:val="18"/>
                <w:szCs w:val="18"/>
              </w:rPr>
              <w:t xml:space="preserve">The scheduled slate may carry null venue_id and start_time_utc</w:t>
            </w:r>
          </w:p>
        </w:tc>
        <w:tc>
          <w:tcPr>
            <w:tcW w:type="dxa" w:w="3560"/>
            <w:tcMar>
              <w:top w:type="dxa" w:w="60"/>
              <w:left w:type="dxa" w:w="100"/>
              <w:bottom w:type="dxa" w:w="60"/>
              <w:right w:type="dxa" w:w="100"/>
            </w:tcMar>
          </w:tcPr>
          <w:p>
            <w:r>
              <w:rPr>
                <w:b w:val="false"/>
                <w:bCs w:val="false"/>
                <w:sz w:val="18"/>
                <w:szCs w:val="18"/>
              </w:rPr>
              <w:t xml:space="preserve">Park and weather key off venue_id. The snapshot freeze keys off first pitch.</w:t>
            </w:r>
          </w:p>
        </w:tc>
        <w:tc>
          <w:tcPr>
            <w:tcW w:type="dxa" w:w="2400"/>
            <w:tcMar>
              <w:top w:type="dxa" w:w="60"/>
              <w:left w:type="dxa" w:w="100"/>
              <w:bottom w:type="dxa" w:w="60"/>
              <w:right w:type="dxa" w:w="100"/>
            </w:tcMar>
          </w:tcPr>
          <w:p>
            <w:r>
              <w:rPr>
                <w:b w:val="false"/>
                <w:bCs w:val="false"/>
                <w:sz w:val="18"/>
                <w:szCs w:val="18"/>
              </w:rPr>
              <w:t xml:space="preserve">Phase C gate</w:t>
            </w:r>
          </w:p>
        </w:tc>
      </w:tr>
      <w:tr>
        <w:tc>
          <w:tcPr>
            <w:tcW w:type="dxa" w:w="3400"/>
            <w:tcMar>
              <w:top w:type="dxa" w:w="60"/>
              <w:left w:type="dxa" w:w="100"/>
              <w:bottom w:type="dxa" w:w="60"/>
              <w:right w:type="dxa" w:w="100"/>
            </w:tcMar>
          </w:tcPr>
          <w:p>
            <w:r>
              <w:rPr>
                <w:b w:val="false"/>
                <w:bCs w:val="false"/>
                <w:sz w:val="18"/>
                <w:szCs w:val="18"/>
              </w:rPr>
              <w:t xml:space="preserve">No model has ever been ACTIVE</w:t>
            </w:r>
          </w:p>
        </w:tc>
        <w:tc>
          <w:tcPr>
            <w:tcW w:type="dxa" w:w="3560"/>
            <w:tcMar>
              <w:top w:type="dxa" w:w="60"/>
              <w:left w:type="dxa" w:w="100"/>
              <w:bottom w:type="dxa" w:w="60"/>
              <w:right w:type="dxa" w:w="100"/>
            </w:tcMar>
          </w:tcPr>
          <w:p>
            <w:r>
              <w:rPr>
                <w:b w:val="false"/>
                <w:bCs w:val="false"/>
                <w:sz w:val="18"/>
                <w:szCs w:val="18"/>
              </w:rPr>
              <w:t xml:space="preserve">Every board row reads RESEARCH_ONLY with confidence NONE.</w:t>
            </w:r>
          </w:p>
        </w:tc>
        <w:tc>
          <w:tcPr>
            <w:tcW w:type="dxa" w:w="2400"/>
            <w:tcMar>
              <w:top w:type="dxa" w:w="60"/>
              <w:left w:type="dxa" w:w="100"/>
              <w:bottom w:type="dxa" w:w="60"/>
              <w:right w:type="dxa" w:w="100"/>
            </w:tcMar>
          </w:tcPr>
          <w:p>
            <w:r>
              <w:rPr>
                <w:b w:val="false"/>
                <w:bCs w:val="false"/>
                <w:sz w:val="18"/>
                <w:szCs w:val="18"/>
              </w:rPr>
              <w:t xml:space="preserve">Phase E, if the data supports it</w:t>
            </w:r>
          </w:p>
        </w:tc>
      </w:tr>
      <w:tr>
        <w:tc>
          <w:tcPr>
            <w:tcW w:type="dxa" w:w="3400"/>
            <w:tcMar>
              <w:top w:type="dxa" w:w="60"/>
              <w:left w:type="dxa" w:w="100"/>
              <w:bottom w:type="dxa" w:w="60"/>
              <w:right w:type="dxa" w:w="100"/>
            </w:tcMar>
          </w:tcPr>
          <w:p>
            <w:r>
              <w:rPr>
                <w:b w:val="false"/>
                <w:bCs w:val="false"/>
                <w:sz w:val="18"/>
                <w:szCs w:val="18"/>
              </w:rPr>
              <w:t xml:space="preserve">The frontend ships as one 501 kB chunk with no code splitting</w:t>
            </w:r>
          </w:p>
        </w:tc>
        <w:tc>
          <w:tcPr>
            <w:tcW w:type="dxa" w:w="3560"/>
            <w:tcMar>
              <w:top w:type="dxa" w:w="60"/>
              <w:left w:type="dxa" w:w="100"/>
              <w:bottom w:type="dxa" w:w="60"/>
              <w:right w:type="dxa" w:w="100"/>
            </w:tcMar>
          </w:tcPr>
          <w:p>
            <w:r>
              <w:rPr>
                <w:b w:val="false"/>
                <w:bCs w:val="false"/>
                <w:sz w:val="18"/>
                <w:szCs w:val="18"/>
              </w:rPr>
              <w:t xml:space="preserve">Slow first load. Everything after the first load is fine.</w:t>
            </w:r>
          </w:p>
        </w:tc>
        <w:tc>
          <w:tcPr>
            <w:tcW w:type="dxa" w:w="2400"/>
            <w:tcMar>
              <w:top w:type="dxa" w:w="60"/>
              <w:left w:type="dxa" w:w="100"/>
              <w:bottom w:type="dxa" w:w="60"/>
              <w:right w:type="dxa" w:w="100"/>
            </w:tcMar>
          </w:tcPr>
          <w:p>
            <w:r>
              <w:rPr>
                <w:b w:val="false"/>
                <w:bCs w:val="false"/>
                <w:sz w:val="18"/>
                <w:szCs w:val="18"/>
              </w:rPr>
              <w:t xml:space="preserve">Phase F</w:t>
            </w:r>
          </w:p>
        </w:tc>
      </w:tr>
    </w:tbl>
    <w:p>
      <w:pPr>
        <w:spacing w:after="12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F0D9" w:color="auto" w:val="clear"/>
            <w:tcMar>
              <w:top w:type="dxa" w:w="140"/>
              <w:left w:type="dxa" w:w="180"/>
              <w:bottom w:type="dxa" w:w="140"/>
              <w:right w:type="dxa" w:w="180"/>
            </w:tcMar>
          </w:tcPr>
          <w:p>
            <w:pPr>
              <w:spacing w:after="80"/>
            </w:pPr>
            <w:r>
              <w:rPr>
                <w:b/>
                <w:bCs/>
                <w:color w:val="1F6023"/>
                <w:sz w:val="22"/>
                <w:szCs w:val="22"/>
              </w:rPr>
              <w:t xml:space="preserve">What you get at the end of Phase D</w:t>
            </w:r>
          </w:p>
          <w:p>
            <w:pPr>
              <w:spacing w:after="60"/>
            </w:pPr>
            <w:r>
              <w:rPr>
                <w:sz w:val="20"/>
                <w:szCs w:val="20"/>
              </w:rPr>
              <w:t xml:space="preserve">A site that loads without errors, a populated market board with real research ranks and evidence, Round Robin pairs surfacing per game, and a pipeline that completes end to end.</w:t>
            </w:r>
          </w:p>
          <w:p>
            <w:pPr>
              <w:spacing w:after="60"/>
            </w:pPr>
            <w:r>
              <w:rPr>
                <w:sz w:val="20"/>
                <w:szCs w:val="20"/>
              </w:rPr>
              <w:t xml:space="preserve">That is a working site. The confidence layer stays dormant, correctly and visibly, until Phase E.</w:t>
            </w:r>
          </w:p>
        </w:tc>
      </w:tr>
    </w:tbl>
    <w:p>
      <w:pPr>
        <w:spacing w:after="12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80"/>
              <w:bottom w:type="dxa" w:w="140"/>
              <w:right w:type="dxa" w:w="180"/>
            </w:tcMar>
          </w:tcPr>
          <w:p>
            <w:pPr>
              <w:spacing w:after="80"/>
            </w:pPr>
            <w:r>
              <w:rPr>
                <w:b/>
                <w:bCs/>
                <w:color w:val="7F6000"/>
                <w:sz w:val="22"/>
                <w:szCs w:val="22"/>
              </w:rPr>
              <w:t xml:space="preserve">What Phase E may not give you today</w:t>
            </w:r>
          </w:p>
          <w:p>
            <w:pPr>
              <w:spacing w:after="60"/>
            </w:pPr>
            <w:r>
              <w:rPr>
                <w:sz w:val="20"/>
                <w:szCs w:val="20"/>
              </w:rPr>
              <w:t xml:space="preserve">Walk-forward validation needs at least ten distinct slates per market with frozen snapshots and settled outcomes: five of history before the first of five folds.</w:t>
            </w:r>
          </w:p>
          <w:p>
            <w:pPr>
              <w:spacing w:after="60"/>
            </w:pPr>
            <w:r>
              <w:rPr>
                <w:sz w:val="20"/>
                <w:szCs w:val="20"/>
              </w:rPr>
              <w:t xml:space="preserve">If that data does not exist yet, every market returns INCOMPLETE. That is a data-volume answer, not a failure, and no threshold should be loosened to get past it.</w:t>
            </w:r>
          </w:p>
          <w:p>
            <w:pPr>
              <w:spacing w:after="60"/>
            </w:pPr>
            <w:r>
              <w:rPr>
                <w:sz w:val="20"/>
                <w:szCs w:val="20"/>
              </w:rPr>
              <w:t xml:space="preserve">Run the pre-flight query in Phase E first so you find this out in one minute rather than after an hour of training.</w:t>
            </w:r>
          </w:p>
        </w:tc>
      </w:tr>
    </w:tbl>
    <w:p>
      <w:r>
        <w:br w:type="page"/>
      </w:r>
    </w:p>
    <w:p>
      <w:pPr>
        <w:pStyle w:val="Heading1"/>
        <w:spacing w:after="160" w:before="360"/>
      </w:pPr>
      <w:r>
        <w:t xml:space="preserve">Phase A. Prerequisites, on you not the agent</w:t>
      </w:r>
    </w:p>
    <w:p>
      <w:pPr>
        <w:spacing w:after="120"/>
      </w:pPr>
      <w:r>
        <w:rPr>
          <w:sz w:val="21"/>
          <w:szCs w:val="21"/>
        </w:rPr>
        <w:t xml:space="preserve">Two things must happen outside the Replit agent. Neither is a code problem and the agent cannot do either.</w:t>
      </w:r>
    </w:p>
    <w:p>
      <w:pPr>
        <w:pStyle w:val="Heading2"/>
        <w:spacing w:after="120" w:before="280"/>
      </w:pPr>
      <w:r>
        <w:t xml:space="preserve">A1. Merge PR #2 on GitHub, in a browser</w:t>
      </w:r>
    </w:p>
    <w:p>
      <w:pPr>
        <w:spacing w:after="120"/>
      </w:pPr>
      <w:r>
        <w:rPr>
          <w:sz w:val="21"/>
          <w:szCs w:val="21"/>
        </w:rPr>
        <w:t xml:space="preserve">Go to the pull request on github.com and merge it there. You do not need Replit for this. Replit's Git connection being broken is irrelevant to a merge that happens on GitHub's side.</w:t>
      </w:r>
    </w:p>
    <w:p>
      <w:pPr>
        <w:pStyle w:val="Heading2"/>
        <w:spacing w:after="120" w:before="280"/>
      </w:pPr>
      <w:r>
        <w:t xml:space="preserve">A2. Reconnect Replit to GitHub</w:t>
      </w:r>
    </w:p>
    <w:p>
      <w:pPr>
        <w:spacing w:after="120"/>
      </w:pPr>
      <w:r>
        <w:rPr>
          <w:sz w:val="21"/>
          <w:szCs w:val="21"/>
        </w:rPr>
        <w:t xml:space="preserve">The Replit workspace's credential is dead. The exact error from the workspace:</w:t>
      </w:r>
    </w:p>
    <w:p>
      <w:pPr>
        <w:spacing w:after="40" w:before="40"/>
        <w:ind w:left="360"/>
      </w:pPr>
      <w:r>
        <w:rPr>
          <w:rFonts w:ascii="Consolas" w:cs="Consolas" w:eastAsia="Consolas" w:hAnsi="Consolas"/>
          <w:sz w:val="17"/>
          <w:szCs w:val="17"/>
        </w:rPr>
        <w:t xml:space="preserve">remote: Invalid username or token. Password authentication is not supported</w:t>
      </w:r>
    </w:p>
    <w:p>
      <w:pPr>
        <w:spacing w:after="40" w:before="40"/>
        <w:ind w:left="360"/>
      </w:pPr>
      <w:r>
        <w:rPr>
          <w:rFonts w:ascii="Consolas" w:cs="Consolas" w:eastAsia="Consolas" w:hAnsi="Consolas"/>
          <w:sz w:val="17"/>
          <w:szCs w:val="17"/>
        </w:rPr>
        <w:t xml:space="preserve">fatal: Authentication failed for 'https://github.com/wevilly/2026MLB/'</w:t>
      </w:r>
    </w:p>
    <w:p>
      <w:pPr>
        <w:spacing w:after="120"/>
      </w:pPr>
      <w:r>
        <w:rPr>
          <w:sz w:val="21"/>
          <w:szCs w:val="21"/>
        </w:rPr>
        <w:t xml:space="preserve">This is why Replit shows nothing to merge: it cannot read the remote, so it cannot see the branch or the pull request. The 404 the container got on the PR page is just what a private repo returns without auth, not evidence the PR is missing.</w:t>
      </w:r>
    </w:p>
    <w:p>
      <w:pPr>
        <w:spacing w:after="120"/>
      </w:pPr>
      <w:r>
        <w:rPr>
          <w:sz w:val="21"/>
          <w:szCs w:val="21"/>
        </w:rPr>
        <w:t xml:space="preserve">To fix: open the Git pane in the workspace and look for a reconnect or re-authorize prompt. If there is not one, go to Replit account settings, Connected services, GitHub, then disconnect and reconnect. Confirm the Replit GitHub App still has access to wevilly/2026MLB specifically. If the app install is scoped to selected repositories, this repo may simply not be in the list. Expired tokens and repo-scope gaps produce the same error.</w:t>
      </w:r>
    </w:p>
    <w:p>
      <w:pPr>
        <w:pStyle w:val="Heading2"/>
        <w:spacing w:after="120" w:before="280"/>
      </w:pPr>
      <w:r>
        <w:t xml:space="preserve">A3. What you do not need to worry about</w:t>
      </w:r>
    </w:p>
    <w:p>
      <w:pPr>
        <w:spacing w:after="120"/>
      </w:pPr>
      <w:r>
        <w:rPr>
          <w:sz w:val="21"/>
          <w:szCs w:val="21"/>
        </w:rPr>
        <w:t xml:space="preserve">Local main is one commit ahead of the remote. That commit is 68c5b26, by the Replit Agent, and it touches exactly two files: .agents/memory/MEMORY.md and a new .agents/memory/post-merge-database-hook.md. It does not touch scripts/post-merge.sh, .replit, or anything under lib/db/scripts. It cannot conflict with PR #2.</w:t>
      </w:r>
    </w:p>
    <w:p>
      <w:pPr>
        <w:spacing w:after="120"/>
      </w:pPr>
      <w:r>
        <w:rPr>
          <w:i/>
          <w:iCs/>
          <w:color w:val="555555"/>
          <w:sz w:val="18"/>
          <w:szCs w:val="18"/>
        </w:rPr>
        <w:t xml:space="preserve">Worth knowing: that commit is the Replit Agent writing itself a memory note about the non-TTY drizzle failure, including that the db package filter resolves correctly and is not the cause. It reached the same conclusion independently, so it will not argue with the fix.</w:t>
      </w:r>
    </w:p>
    <w:p>
      <w:r>
        <w:br w:type="page"/>
      </w:r>
    </w:p>
    <w:p>
      <w:pPr>
        <w:pStyle w:val="Heading1"/>
        <w:spacing w:after="160" w:before="360"/>
      </w:pPr>
      <w:r>
        <w:t xml:space="preserve">Everything below goes to the Replit agent</w:t>
      </w:r>
    </w:p>
    <w:p>
      <w:pPr>
        <w:spacing w:after="120"/>
      </w:pPr>
      <w:r>
        <w:rPr>
          <w:sz w:val="21"/>
          <w:szCs w:val="21"/>
        </w:rPr>
        <w:t xml:space="preserve">Paste from here. Work the phases in order and stop at every STOP. Each stop exists because the next phase is wasted work if the previous one did not produce what it should have.</w:t>
      </w:r>
    </w:p>
    <w:p>
      <w:pPr>
        <w:pBdr>
          <w:bottom w:val="single" w:color="BBBBBB" w:sz="6"/>
        </w:pBdr>
        <w:spacing w:after="200" w:before="100"/>
      </w:pPr>
    </w:p>
    <w:p>
      <w:pPr>
        <w:pStyle w:val="Heading1"/>
        <w:spacing w:after="160" w:before="360"/>
      </w:pPr>
      <w:r>
        <w:t xml:space="preserve">Phase B. Land the merge and the schema</w:t>
      </w:r>
    </w:p>
    <w:p>
      <w:pPr>
        <w:pStyle w:val="Heading3"/>
        <w:spacing w:after="100" w:before="240"/>
      </w:pPr>
      <w:r>
        <w:t xml:space="preserve">B1. Fetch and reconcile</w:t>
      </w:r>
    </w:p>
    <w:p>
      <w:pPr>
        <w:pStyle w:val="ListParagraph"/>
        <w:numPr>
          <w:ilvl w:val="0"/>
          <w:numId w:val="2"/>
        </w:numPr>
        <w:spacing w:after="60"/>
      </w:pPr>
      <w:r>
        <w:rPr>
          <w:sz w:val="21"/>
          <w:szCs w:val="21"/>
        </w:rPr>
        <w:t xml:space="preserve">Fetch the GitHub remote. It is named subrepl-2wsmbzw5, not origin. Confirm you can read it now.</w:t>
      </w:r>
    </w:p>
    <w:p>
      <w:pPr>
        <w:pStyle w:val="ListParagraph"/>
        <w:numPr>
          <w:ilvl w:val="0"/>
          <w:numId w:val="2"/>
        </w:numPr>
        <w:spacing w:after="60"/>
      </w:pPr>
      <w:r>
        <w:rPr>
          <w:sz w:val="21"/>
          <w:szCs w:val="21"/>
        </w:rPr>
        <w:t xml:space="preserve">Reconcile local main with the remote. Local main is one commit ahead, 68c5b26, touching only the two memory files above. Keep that commit. If either memory file conflicts, keep both entries rather than choosing one.</w:t>
      </w:r>
    </w:p>
    <w:p>
      <w:pPr>
        <w:pStyle w:val="ListParagraph"/>
        <w:numPr>
          <w:ilvl w:val="0"/>
          <w:numId w:val="2"/>
        </w:numPr>
        <w:spacing w:after="60"/>
      </w:pPr>
      <w:r>
        <w:rPr>
          <w:sz w:val="21"/>
          <w:szCs w:val="21"/>
        </w:rPr>
        <w:t xml:space="preserve">Do not force-push. Do not reset. Do not rebase.</w:t>
      </w:r>
    </w:p>
    <w:p>
      <w:pPr>
        <w:pStyle w:val="ListParagraph"/>
        <w:numPr>
          <w:ilvl w:val="0"/>
          <w:numId w:val="2"/>
        </w:numPr>
        <w:spacing w:after="60"/>
      </w:pPr>
      <w:r>
        <w:rPr>
          <w:sz w:val="21"/>
          <w:szCs w:val="21"/>
        </w:rPr>
        <w:t xml:space="preserve">Report git log --oneline -8 and confirm the working tree is clean.</w:t>
      </w:r>
    </w:p>
    <w:p>
      <w:pPr>
        <w:pStyle w:val="Heading3"/>
        <w:spacing w:after="100" w:before="240"/>
      </w:pPr>
      <w:r>
        <w:t xml:space="preserve">B2. Install</w:t>
      </w:r>
    </w:p>
    <w:p>
      <w:pPr>
        <w:spacing w:after="40" w:before="40"/>
        <w:ind w:left="360"/>
      </w:pPr>
      <w:r>
        <w:rPr>
          <w:rFonts w:ascii="Consolas" w:cs="Consolas" w:eastAsia="Consolas" w:hAnsi="Consolas"/>
          <w:sz w:val="17"/>
          <w:szCs w:val="17"/>
        </w:rPr>
        <w:t xml:space="preserve">pnpm install --frozen-lockfile</w:t>
      </w:r>
    </w:p>
    <w:p>
      <w:pPr>
        <w:spacing w:after="120"/>
      </w:pPr>
      <w:r>
        <w:rPr>
          <w:sz w:val="21"/>
          <w:szCs w:val="21"/>
        </w:rPr>
        <w:t xml:space="preserve">PR #2 moved 54 frontend packages from devDependencies to dependencies and regenerated the lockfile in the same commit. If this fails, stop and report. Do not regenerate the lockfile to make it pass.</w:t>
      </w:r>
    </w:p>
    <w:p>
      <w:pPr>
        <w:pStyle w:val="Heading3"/>
        <w:spacing w:after="100" w:before="240"/>
      </w:pPr>
      <w:r>
        <w:t xml:space="preserve">B3. Run the post-merge hook</w:t>
      </w:r>
    </w:p>
    <w:p>
      <w:pPr>
        <w:spacing w:after="40" w:before="40"/>
        <w:ind w:left="360"/>
      </w:pPr>
      <w:r>
        <w:rPr>
          <w:rFonts w:ascii="Consolas" w:cs="Consolas" w:eastAsia="Consolas" w:hAnsi="Consolas"/>
          <w:sz w:val="17"/>
          <w:szCs w:val="17"/>
        </w:rPr>
        <w:t xml:space="preserve">bash scripts/post-merge.sh</w:t>
      </w:r>
    </w:p>
    <w:p>
      <w:pPr>
        <w:spacing w:after="120"/>
      </w:pPr>
      <w:r>
        <w:rPr>
          <w:sz w:val="21"/>
          <w:szCs w:val="21"/>
        </w:rPr>
        <w:t xml:space="preserve">Report three things: the exit code, the apply-immutability line, and the full handedness census block it prints before the push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shd w:fill="D9E2F3" w:color="auto" w:val="clear"/>
            <w:tcMar>
              <w:top w:type="dxa" w:w="60"/>
              <w:left w:type="dxa" w:w="100"/>
              <w:bottom w:type="dxa" w:w="60"/>
              <w:right w:type="dxa" w:w="100"/>
            </w:tcMar>
          </w:tcPr>
          <w:p>
            <w:r>
              <w:rPr>
                <w:b/>
                <w:bCs/>
                <w:sz w:val="18"/>
                <w:szCs w:val="18"/>
              </w:rPr>
              <w:t xml:space="preserve">Result</w:t>
            </w:r>
          </w:p>
        </w:tc>
        <w:tc>
          <w:tcPr>
            <w:tcW w:type="dxa" w:w="4360"/>
            <w:shd w:fill="D9E2F3" w:color="auto" w:val="clear"/>
            <w:tcMar>
              <w:top w:type="dxa" w:w="60"/>
              <w:left w:type="dxa" w:w="100"/>
              <w:bottom w:type="dxa" w:w="60"/>
              <w:right w:type="dxa" w:w="100"/>
            </w:tcMar>
          </w:tcPr>
          <w:p>
            <w:r>
              <w:rPr>
                <w:b/>
                <w:bCs/>
                <w:sz w:val="18"/>
                <w:szCs w:val="18"/>
              </w:rPr>
              <w:t xml:space="preserve">Meaning</w:t>
            </w:r>
          </w:p>
        </w:tc>
        <w:tc>
          <w:tcPr>
            <w:tcW w:type="dxa" w:w="2600"/>
            <w:shd w:fill="D9E2F3" w:color="auto" w:val="clear"/>
            <w:tcMar>
              <w:top w:type="dxa" w:w="60"/>
              <w:left w:type="dxa" w:w="100"/>
              <w:bottom w:type="dxa" w:w="60"/>
              <w:right w:type="dxa" w:w="100"/>
            </w:tcMar>
          </w:tcPr>
          <w:p>
            <w:r>
              <w:rPr>
                <w:b/>
                <w:bCs/>
                <w:sz w:val="18"/>
                <w:szCs w:val="18"/>
              </w:rPr>
              <w:t xml:space="preserve">Action</w:t>
            </w:r>
          </w:p>
        </w:tc>
      </w:tr>
      <w:tr>
        <w:tc>
          <w:tcPr>
            <w:tcW w:type="dxa" w:w="2400"/>
            <w:tcMar>
              <w:top w:type="dxa" w:w="60"/>
              <w:left w:type="dxa" w:w="100"/>
              <w:bottom w:type="dxa" w:w="60"/>
              <w:right w:type="dxa" w:w="100"/>
            </w:tcMar>
          </w:tcPr>
          <w:p>
            <w:r>
              <w:rPr>
                <w:b w:val="false"/>
                <w:bCs w:val="false"/>
                <w:sz w:val="18"/>
                <w:szCs w:val="18"/>
              </w:rPr>
              <w:t xml:space="preserve">exit 0, 121 OK 0 failed</w:t>
            </w:r>
          </w:p>
        </w:tc>
        <w:tc>
          <w:tcPr>
            <w:tcW w:type="dxa" w:w="4360"/>
            <w:tcMar>
              <w:top w:type="dxa" w:w="60"/>
              <w:left w:type="dxa" w:w="100"/>
              <w:bottom w:type="dxa" w:w="60"/>
              <w:right w:type="dxa" w:w="100"/>
            </w:tcMar>
          </w:tcPr>
          <w:p>
            <w:r>
              <w:rPr>
                <w:b w:val="false"/>
                <w:bCs w:val="false"/>
                <w:sz w:val="18"/>
                <w:szCs w:val="18"/>
              </w:rPr>
              <w:t xml:space="preserve">The migration landed.</w:t>
            </w:r>
          </w:p>
        </w:tc>
        <w:tc>
          <w:tcPr>
            <w:tcW w:type="dxa" w:w="2600"/>
            <w:tcMar>
              <w:top w:type="dxa" w:w="60"/>
              <w:left w:type="dxa" w:w="100"/>
              <w:bottom w:type="dxa" w:w="60"/>
              <w:right w:type="dxa" w:w="100"/>
            </w:tcMar>
          </w:tcPr>
          <w:p>
            <w:r>
              <w:rPr>
                <w:b w:val="false"/>
                <w:bCs w:val="false"/>
                <w:sz w:val="18"/>
                <w:szCs w:val="18"/>
              </w:rPr>
              <w:t xml:space="preserve">Continue to B4.</w:t>
            </w:r>
          </w:p>
        </w:tc>
      </w:tr>
      <w:tr>
        <w:tc>
          <w:tcPr>
            <w:tcW w:type="dxa" w:w="2400"/>
            <w:tcMar>
              <w:top w:type="dxa" w:w="60"/>
              <w:left w:type="dxa" w:w="100"/>
              <w:bottom w:type="dxa" w:w="60"/>
              <w:right w:type="dxa" w:w="100"/>
            </w:tcMar>
          </w:tcPr>
          <w:p>
            <w:r>
              <w:rPr>
                <w:b w:val="false"/>
                <w:bCs w:val="false"/>
                <w:sz w:val="18"/>
                <w:szCs w:val="18"/>
              </w:rPr>
              <w:t xml:space="preserve">119 OK, 2 failed</w:t>
            </w:r>
          </w:p>
        </w:tc>
        <w:tc>
          <w:tcPr>
            <w:tcW w:type="dxa" w:w="4360"/>
            <w:tcMar>
              <w:top w:type="dxa" w:w="60"/>
              <w:left w:type="dxa" w:w="100"/>
              <w:bottom w:type="dxa" w:w="60"/>
              <w:right w:type="dxa" w:w="100"/>
            </w:tcMar>
          </w:tcPr>
          <w:p>
            <w:r>
              <w:rPr>
                <w:b w:val="false"/>
                <w:bCs w:val="false"/>
                <w:sz w:val="18"/>
                <w:szCs w:val="18"/>
              </w:rPr>
              <w:t xml:space="preserve">The migration did not run. The two failures are the weather triggers, and the table they need does not exist.</w:t>
            </w:r>
          </w:p>
        </w:tc>
        <w:tc>
          <w:tcPr>
            <w:tcW w:type="dxa" w:w="2600"/>
            <w:tcMar>
              <w:top w:type="dxa" w:w="60"/>
              <w:left w:type="dxa" w:w="100"/>
              <w:bottom w:type="dxa" w:w="60"/>
              <w:right w:type="dxa" w:w="100"/>
            </w:tcMar>
          </w:tcPr>
          <w:p>
            <w:r>
              <w:rPr>
                <w:b w:val="false"/>
                <w:bCs w:val="false"/>
                <w:sz w:val="18"/>
                <w:szCs w:val="18"/>
              </w:rPr>
              <w:t xml:space="preserve">Stop and report. Do not retry.</w:t>
            </w:r>
          </w:p>
        </w:tc>
      </w:tr>
      <w:tr>
        <w:tc>
          <w:tcPr>
            <w:tcW w:type="dxa" w:w="2400"/>
            <w:tcMar>
              <w:top w:type="dxa" w:w="60"/>
              <w:left w:type="dxa" w:w="100"/>
              <w:bottom w:type="dxa" w:w="60"/>
              <w:right w:type="dxa" w:w="100"/>
            </w:tcMar>
          </w:tcPr>
          <w:p>
            <w:r>
              <w:rPr>
                <w:b w:val="false"/>
                <w:bCs w:val="false"/>
                <w:sz w:val="18"/>
                <w:szCs w:val="18"/>
              </w:rPr>
              <w:t xml:space="preserve">A TTY prompt error</w:t>
            </w:r>
          </w:p>
        </w:tc>
        <w:tc>
          <w:tcPr>
            <w:tcW w:type="dxa" w:w="4360"/>
            <w:tcMar>
              <w:top w:type="dxa" w:w="60"/>
              <w:left w:type="dxa" w:w="100"/>
              <w:bottom w:type="dxa" w:w="60"/>
              <w:right w:type="dxa" w:w="100"/>
            </w:tcMar>
          </w:tcPr>
          <w:p>
            <w:r>
              <w:rPr>
                <w:b w:val="false"/>
                <w:bCs w:val="false"/>
                <w:sz w:val="18"/>
                <w:szCs w:val="18"/>
              </w:rPr>
              <w:t xml:space="preserve">A new schema ambiguity has appeared that the migration does not cover.</w:t>
            </w:r>
          </w:p>
        </w:tc>
        <w:tc>
          <w:tcPr>
            <w:tcW w:type="dxa" w:w="2600"/>
            <w:tcMar>
              <w:top w:type="dxa" w:w="60"/>
              <w:left w:type="dxa" w:w="100"/>
              <w:bottom w:type="dxa" w:w="60"/>
              <w:right w:type="dxa" w:w="100"/>
            </w:tcMar>
          </w:tcPr>
          <w:p>
            <w:r>
              <w:rPr>
                <w:b w:val="false"/>
                <w:bCs w:val="false"/>
                <w:sz w:val="18"/>
                <w:szCs w:val="18"/>
              </w:rPr>
              <w:t xml:space="preserve">Stop and report the exact table and columns named. Do not use push --force.</w:t>
            </w:r>
          </w:p>
        </w:tc>
      </w:tr>
    </w:tbl>
    <w:p>
      <w:pPr>
        <w:spacing w:after="12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80"/>
              <w:bottom w:type="dxa" w:w="140"/>
              <w:right w:type="dxa" w:w="180"/>
            </w:tcMar>
          </w:tcPr>
          <w:p>
            <w:pPr>
              <w:spacing w:after="80"/>
            </w:pPr>
            <w:r>
              <w:rPr>
                <w:b/>
                <w:bCs/>
                <w:color w:val="7F6000"/>
                <w:sz w:val="22"/>
                <w:szCs w:val="22"/>
              </w:rPr>
              <w:t xml:space="preserve">Why push --force is forbidden here</w:t>
            </w:r>
          </w:p>
          <w:p>
            <w:pPr>
              <w:spacing w:after="60"/>
            </w:pPr>
            <w:r>
              <w:rPr>
                <w:sz w:val="20"/>
                <w:szCs w:val="20"/>
              </w:rPr>
              <w:t xml:space="preserve">drizzle-kit prompts when a column is dropped and another added on the same table, because it cannot tell a rename from a create-plus-drop. On walk_forward_runs that is calibration_error being renamed.</w:t>
            </w:r>
          </w:p>
          <w:p>
            <w:pPr>
              <w:spacing w:after="60"/>
            </w:pPr>
            <w:r>
              <w:rPr>
                <w:sz w:val="20"/>
                <w:szCs w:val="20"/>
              </w:rPr>
              <w:t xml:space="preserve">Those old values were produced by the inverted calibration gate. If force guesses them onto expected_calibration_error, the new acceptance gate starts reading discredited numbers and silently compares a calibration error against a mean absolute error.</w:t>
            </w:r>
          </w:p>
          <w:p>
            <w:pPr>
              <w:spacing w:after="60"/>
            </w:pPr>
            <w:r>
              <w:rPr>
                <w:sz w:val="20"/>
                <w:szCs w:val="20"/>
              </w:rPr>
              <w:t xml:space="preserve">The migration preserves them as mean_absolute_prediction_error, which is what they actually were, and starts the gate column at NULL.</w:t>
            </w:r>
          </w:p>
        </w:tc>
      </w:tr>
    </w:tbl>
    <w:p>
      <w:pPr>
        <w:pStyle w:val="Heading3"/>
        <w:spacing w:after="100" w:before="240"/>
      </w:pPr>
      <w:r>
        <w:t xml:space="preserve">B4. Commit the census immediately</w:t>
      </w:r>
    </w:p>
    <w:p>
      <w:pPr>
        <w:spacing w:after="120"/>
      </w:pPr>
      <w:r>
        <w:rPr>
          <w:sz w:val="21"/>
          <w:szCs w:val="21"/>
        </w:rPr>
        <w:t xml:space="preserve">If the hook printed COMMIT IT, commit reports/handedness-census.jsonl now, before anything else.</w:t>
      </w:r>
    </w:p>
    <w:p>
      <w:pPr>
        <w:spacing w:after="120"/>
      </w:pPr>
      <w:r>
        <w:rPr>
          <w:sz w:val="21"/>
          <w:szCs w:val="21"/>
        </w:rPr>
        <w:t xml:space="preserve">This is a one-shot measurement. Migration M6 normalises stored empty-string handedness to NULL, so every run after this one records throwsEmpty 0 by construction. A file of zeros means the census ran late, not that nothing was damaged. Confirm isFirstCapture and splitStillIntact in the record you committed.</w:t>
      </w:r>
    </w:p>
    <w:p>
      <w:pPr>
        <w:pStyle w:val="Heading3"/>
        <w:spacing w:after="100" w:before="240"/>
      </w:pPr>
      <w:r>
        <w:t xml:space="preserve">B5. Verify the two objects that were missing</w:t>
      </w:r>
    </w:p>
    <w:p>
      <w:pPr>
        <w:spacing w:after="40" w:before="40"/>
        <w:ind w:left="360"/>
      </w:pPr>
      <w:r>
        <w:rPr>
          <w:rFonts w:ascii="Consolas" w:cs="Consolas" w:eastAsia="Consolas" w:hAnsi="Consolas"/>
          <w:sz w:val="17"/>
          <w:szCs w:val="17"/>
        </w:rPr>
        <w:t xml:space="preserve">SELECT to_regclass('game_weather_observations') AS weather_table;</w:t>
      </w:r>
    </w:p>
    <w:p>
      <w:pPr>
        <w:spacing w:after="40" w:before="40"/>
        <w:ind w:left="360"/>
      </w:pPr>
      <w:r>
        <w:rPr>
          <w:rFonts w:ascii="Consolas" w:cs="Consolas" w:eastAsia="Consolas" w:hAnsi="Consolas"/>
          <w:sz w:val="17"/>
          <w:szCs w:val="17"/>
        </w:rPr>
        <w:t xml:space="preserve"/>
      </w:r>
    </w:p>
    <w:p>
      <w:pPr>
        <w:spacing w:after="40" w:before="40"/>
        <w:ind w:left="360"/>
      </w:pPr>
      <w:r>
        <w:rPr>
          <w:rFonts w:ascii="Consolas" w:cs="Consolas" w:eastAsia="Consolas" w:hAnsi="Consolas"/>
          <w:sz w:val="17"/>
          <w:szCs w:val="17"/>
        </w:rPr>
        <w:t xml:space="preserve">SELECT count(*) FROM information_schema.columns</w:t>
      </w:r>
    </w:p>
    <w:p>
      <w:pPr>
        <w:spacing w:after="40" w:before="40"/>
        <w:ind w:left="360"/>
      </w:pPr>
      <w:r>
        <w:rPr>
          <w:rFonts w:ascii="Consolas" w:cs="Consolas" w:eastAsia="Consolas" w:hAnsi="Consolas"/>
          <w:sz w:val="17"/>
          <w:szCs w:val="17"/>
        </w:rPr>
        <w:t xml:space="preserve"> WHERE table_name='historical_outcomes'</w:t>
      </w:r>
    </w:p>
    <w:p>
      <w:pPr>
        <w:spacing w:after="40" w:before="40"/>
        <w:ind w:left="360"/>
      </w:pPr>
      <w:r>
        <w:rPr>
          <w:rFonts w:ascii="Consolas" w:cs="Consolas" w:eastAsia="Consolas" w:hAnsi="Consolas"/>
          <w:sz w:val="17"/>
          <w:szCs w:val="17"/>
        </w:rPr>
        <w:t xml:space="preserve">   AND column_name='settled_without_snapshot';</w:t>
      </w:r>
    </w:p>
    <w:p>
      <w:pPr>
        <w:spacing w:after="40" w:before="40"/>
        <w:ind w:left="360"/>
      </w:pPr>
      <w:r>
        <w:rPr>
          <w:rFonts w:ascii="Consolas" w:cs="Consolas" w:eastAsia="Consolas" w:hAnsi="Consolas"/>
          <w:sz w:val="17"/>
          <w:szCs w:val="17"/>
        </w:rPr>
        <w:t xml:space="preserve"/>
      </w:r>
    </w:p>
    <w:p>
      <w:pPr>
        <w:spacing w:after="40" w:before="40"/>
        <w:ind w:left="360"/>
      </w:pPr>
      <w:r>
        <w:rPr>
          <w:rFonts w:ascii="Consolas" w:cs="Consolas" w:eastAsia="Consolas" w:hAnsi="Consolas"/>
          <w:sz w:val="17"/>
          <w:szCs w:val="17"/>
        </w:rPr>
        <w:t xml:space="preserve">SELECT tgname FROM pg_trigger</w:t>
      </w:r>
    </w:p>
    <w:p>
      <w:pPr>
        <w:spacing w:after="40" w:before="40"/>
        <w:ind w:left="360"/>
      </w:pPr>
      <w:r>
        <w:rPr>
          <w:rFonts w:ascii="Consolas" w:cs="Consolas" w:eastAsia="Consolas" w:hAnsi="Consolas"/>
          <w:sz w:val="17"/>
          <w:szCs w:val="17"/>
        </w:rPr>
        <w:t xml:space="preserve"> WHERE tgrelid='game_weather_observations'::regclass</w:t>
      </w:r>
    </w:p>
    <w:p>
      <w:pPr>
        <w:spacing w:after="40" w:before="40"/>
        <w:ind w:left="360"/>
      </w:pPr>
      <w:r>
        <w:rPr>
          <w:rFonts w:ascii="Consolas" w:cs="Consolas" w:eastAsia="Consolas" w:hAnsi="Consolas"/>
          <w:sz w:val="17"/>
          <w:szCs w:val="17"/>
        </w:rPr>
        <w:t xml:space="preserve">   AND NOT tgisinternal;</w:t>
      </w:r>
    </w:p>
    <w:p>
      <w:pPr>
        <w:spacing w:after="120"/>
      </w:pPr>
      <w:r>
        <w:rPr>
          <w:sz w:val="21"/>
          <w:szCs w:val="21"/>
        </w:rPr>
        <w:t xml:space="preserve">Expect the table to resolve, the column count to be 1, and two triggers: game_weather_append_only and game_weather_truncate_guard. Without those triggers the append-only invariant documented in replit.md is false for that table.</w:t>
      </w:r>
    </w:p>
    <w:p>
      <w:pPr>
        <w:pStyle w:val="Heading3"/>
        <w:spacing w:after="100" w:before="240"/>
      </w:pPr>
      <w:r>
        <w:t xml:space="preserve">B6. Prove idempotency</w:t>
      </w:r>
    </w:p>
    <w:p>
      <w:pPr>
        <w:spacing w:after="120"/>
      </w:pPr>
      <w:r>
        <w:rPr>
          <w:sz w:val="21"/>
          <w:szCs w:val="21"/>
        </w:rPr>
        <w:t xml:space="preserve">Run bash scripts/post-merge.sh a second time. It must be a clean no-op and exit 0. If a second run changes anything, the migration is not idempotent and every future merge will fight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40"/>
              <w:left w:type="dxa" w:w="180"/>
              <w:bottom w:type="dxa" w:w="140"/>
              <w:right w:type="dxa" w:w="180"/>
            </w:tcMar>
          </w:tcPr>
          <w:p>
            <w:pPr>
              <w:spacing w:after="80"/>
            </w:pPr>
            <w:r>
              <w:rPr>
                <w:b/>
                <w:bCs/>
                <w:color w:val="8B0000"/>
                <w:sz w:val="22"/>
                <w:szCs w:val="22"/>
              </w:rPr>
              <w:t xml:space="preserve">STOP. Report before continuing.</w:t>
            </w:r>
          </w:p>
          <w:p>
            <w:pPr>
              <w:spacing w:after="60"/>
            </w:pPr>
            <w:r>
              <w:rPr>
                <w:sz w:val="20"/>
                <w:szCs w:val="20"/>
              </w:rPr>
              <w:t xml:space="preserve">Report Phase B: exit code, apply-immutability line, census block, the three verification queries, and the second-run result.</w:t>
            </w:r>
          </w:p>
        </w:tc>
      </w:tr>
    </w:tbl>
    <w:p>
      <w:r>
        <w:br w:type="page"/>
      </w:r>
    </w:p>
    <w:p>
      <w:pPr>
        <w:pStyle w:val="Heading1"/>
        <w:spacing w:after="160" w:before="360"/>
      </w:pPr>
      <w:r>
        <w:t xml:space="preserve">Phase C. Data integrity gate</w:t>
      </w:r>
    </w:p>
    <w:p>
      <w:pPr>
        <w:spacing w:after="120"/>
      </w:pPr>
      <w:r>
        <w:rPr>
          <w:sz w:val="21"/>
          <w:szCs w:val="21"/>
        </w:rPr>
        <w:t xml:space="preserve">This phase decides whether Phase D is worth running. Two separate things can make the signal layer run on nothing, and both are cheap to check.</w:t>
      </w:r>
    </w:p>
    <w:p>
      <w:pPr>
        <w:pStyle w:val="Heading3"/>
        <w:spacing w:after="100" w:before="240"/>
      </w:pPr>
      <w:r>
        <w:t xml:space="preserve">C1. Backfill handedness</w:t>
      </w:r>
    </w:p>
    <w:p>
      <w:pPr>
        <w:spacing w:after="120"/>
      </w:pPr>
      <w:r>
        <w:rPr>
          <w:sz w:val="21"/>
          <w:szCs w:val="21"/>
        </w:rPr>
        <w:t xml:space="preserve">Run the S1 handedness re-hydration script. Report how many players it re-hydrated and how many it deliberately left alone. It must never overwrite a known value with a feed disagreement.</w:t>
      </w:r>
    </w:p>
    <w:p>
      <w:pPr>
        <w:pStyle w:val="Heading3"/>
        <w:spacing w:after="100" w:before="240"/>
      </w:pPr>
      <w:r>
        <w:t xml:space="preserve">C2. Confirm the platoon layer is actually running</w:t>
      </w:r>
    </w:p>
    <w:p>
      <w:pPr>
        <w:spacing w:after="40" w:before="40"/>
        <w:ind w:left="360"/>
      </w:pPr>
      <w:r>
        <w:rPr>
          <w:rFonts w:ascii="Consolas" w:cs="Consolas" w:eastAsia="Consolas" w:hAnsi="Consolas"/>
          <w:sz w:val="17"/>
          <w:szCs w:val="17"/>
        </w:rPr>
        <w:t xml:space="preserve">GET /api/analyst/data-health</w:t>
      </w:r>
    </w:p>
    <w:p>
      <w:pPr>
        <w:spacing w:after="120"/>
      </w:pPr>
      <w:r>
        <w:rPr>
          <w:sz w:val="21"/>
          <w:szCs w:val="21"/>
        </w:rPr>
        <w:t xml:space="preserve">Report the handedness population counters. These are new in PR #2 and they are the number the original plan asked for and could not answer from code alone: how many players in today's lineups carry a null or empty throws.</w:t>
      </w:r>
    </w:p>
    <w:p>
      <w:pPr>
        <w:spacing w:after="120"/>
      </w:pPr>
      <w:r>
        <w:rPr>
          <w:sz w:val="21"/>
          <w:szCs w:val="21"/>
        </w:rPr>
        <w:t xml:space="preserve">If a large share of today's lineup has unknown handedness, every split metric in every engine is resolving to the unsplit season line, and the park and weather work from Phase 4 of the remediation is sitting on top of a layer that is not running.</w:t>
      </w:r>
    </w:p>
    <w:p>
      <w:pPr>
        <w:pStyle w:val="Heading3"/>
        <w:spacing w:after="100" w:before="240"/>
      </w:pPr>
      <w:r>
        <w:t xml:space="preserve">C3. The venue gate</w:t>
      </w:r>
    </w:p>
    <w:p>
      <w:pPr>
        <w:spacing w:after="40" w:before="40"/>
        <w:ind w:left="360"/>
      </w:pPr>
      <w:r>
        <w:rPr>
          <w:rFonts w:ascii="Consolas" w:cs="Consolas" w:eastAsia="Consolas" w:hAnsi="Consolas"/>
          <w:sz w:val="17"/>
          <w:szCs w:val="17"/>
        </w:rPr>
        <w:t xml:space="preserve">SELECT count(*) AS games,</w:t>
      </w:r>
    </w:p>
    <w:p>
      <w:pPr>
        <w:spacing w:after="40" w:before="40"/>
        <w:ind w:left="360"/>
      </w:pPr>
      <w:r>
        <w:rPr>
          <w:rFonts w:ascii="Consolas" w:cs="Consolas" w:eastAsia="Consolas" w:hAnsi="Consolas"/>
          <w:sz w:val="17"/>
          <w:szCs w:val="17"/>
        </w:rPr>
        <w:t xml:space="preserve">       count(*) FILTER (WHERE venue_id IS NULL)       AS no_venue,</w:t>
      </w:r>
    </w:p>
    <w:p>
      <w:pPr>
        <w:spacing w:after="40" w:before="40"/>
        <w:ind w:left="360"/>
      </w:pPr>
      <w:r>
        <w:rPr>
          <w:rFonts w:ascii="Consolas" w:cs="Consolas" w:eastAsia="Consolas" w:hAnsi="Consolas"/>
          <w:sz w:val="17"/>
          <w:szCs w:val="17"/>
        </w:rPr>
        <w:t xml:space="preserve">       count(*) FILTER (WHERE start_time_utc IS NULL) AS no_start</w:t>
      </w:r>
    </w:p>
    <w:p>
      <w:pPr>
        <w:spacing w:after="40" w:before="40"/>
        <w:ind w:left="360"/>
      </w:pPr>
      <w:r>
        <w:rPr>
          <w:rFonts w:ascii="Consolas" w:cs="Consolas" w:eastAsia="Consolas" w:hAnsi="Consolas"/>
          <w:sz w:val="17"/>
          <w:szCs w:val="17"/>
        </w:rPr>
        <w:t xml:space="preserve">FROM games WHERE game_date = CURRENT_DATE;</w:t>
      </w:r>
    </w:p>
    <w:p>
      <w:pPr>
        <w:spacing w:after="120"/>
      </w:pPr>
      <w:r>
        <w:rPr>
          <w:sz w:val="21"/>
          <w:szCs w:val="21"/>
        </w:rPr>
        <w:t xml:space="preserve">Then the same grouped by game_date for the last 14 days.</w:t>
      </w:r>
    </w:p>
    <w:p>
      <w:pPr>
        <w:spacing w:after="120"/>
      </w:pPr>
      <w:r>
        <w:rPr>
          <w:sz w:val="21"/>
          <w:szCs w:val="21"/>
        </w:rPr>
        <w:t xml:space="preserve">Why this gates everything after it. Audit item S18 found that the scheduled slate is single-source FantasyPros: the daily pipeline's only two required steps are fantasypros_ingest and fantasypros_baseline, and ingestMlbOfficial is not among them. It runs from the operator refresh route and inside nightly settlement, which refreshes the prior slate. Official MLB data arrives in time to settle yesterday, not to define today.</w:t>
      </w:r>
    </w:p>
    <w:p>
      <w:pPr>
        <w:spacing w:after="120"/>
      </w:pPr>
      <w:r>
        <w:rPr>
          <w:sz w:val="21"/>
          <w:szCs w:val="21"/>
        </w:rPr>
        <w:t xml:space="preserve">persistFantasyProsGames writes games rows directly, and those rows carry a null venue_id and a null start_time_utc. Three things depend on those columns:</w:t>
      </w:r>
    </w:p>
    <w:p>
      <w:pPr>
        <w:pStyle w:val="ListParagraph"/>
        <w:numPr>
          <w:ilvl w:val="0"/>
          <w:numId w:val="2"/>
        </w:numPr>
        <w:spacing w:after="60"/>
      </w:pPr>
      <w:r>
        <w:rPr>
          <w:sz w:val="21"/>
          <w:szCs w:val="21"/>
        </w:rPr>
        <w:t xml:space="preserve">Park factors and weather both key off venue_id. A null venue means both terms contribute nothing, silently.</w:t>
      </w:r>
    </w:p>
    <w:p>
      <w:pPr>
        <w:pStyle w:val="ListParagraph"/>
        <w:numPr>
          <w:ilvl w:val="0"/>
          <w:numId w:val="2"/>
        </w:numPr>
        <w:spacing w:after="60"/>
      </w:pPr>
      <w:r>
        <w:rPr>
          <w:sz w:val="21"/>
          <w:szCs w:val="21"/>
        </w:rPr>
        <w:t xml:space="preserve">The snapshot freeze is computed as 90 minutes before the earliest first pitch. A null start time means the freeze cannot be scheduled.</w:t>
      </w:r>
    </w:p>
    <w:p>
      <w:pPr>
        <w:pStyle w:val="ListParagraph"/>
        <w:numPr>
          <w:ilvl w:val="0"/>
          <w:numId w:val="2"/>
        </w:numPr>
        <w:spacing w:after="60"/>
      </w:pPr>
      <w:r>
        <w:rPr>
          <w:sz w:val="21"/>
          <w:szCs w:val="21"/>
        </w:rPr>
        <w:t xml:space="preserve">Walk-forward validation bounds its test window by first pitch, which is the Task 1.4 leakage fix. A null start time weakens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40"/>
              <w:left w:type="dxa" w:w="180"/>
              <w:bottom w:type="dxa" w:w="140"/>
              <w:right w:type="dxa" w:w="180"/>
            </w:tcMar>
          </w:tcPr>
          <w:p>
            <w:pPr>
              <w:spacing w:after="80"/>
            </w:pPr>
            <w:r>
              <w:rPr>
                <w:b/>
                <w:bCs/>
                <w:color w:val="8B0000"/>
                <w:sz w:val="22"/>
                <w:szCs w:val="22"/>
              </w:rPr>
              <w:t xml:space="preserve">STOP. Report before continuing.</w:t>
            </w:r>
          </w:p>
          <w:p>
            <w:pPr>
              <w:spacing w:after="60"/>
            </w:pPr>
            <w:r>
              <w:rPr>
                <w:sz w:val="20"/>
                <w:szCs w:val="20"/>
              </w:rPr>
              <w:t xml:space="preserve">Report Phase C: backfill counts, the data-health handedness counters, and both venue queries.</w:t>
            </w:r>
          </w:p>
          <w:p>
            <w:pPr>
              <w:spacing w:after="60"/>
            </w:pPr>
            <w:r>
              <w:rPr>
                <w:sz w:val="20"/>
                <w:szCs w:val="20"/>
              </w:rPr>
              <w:t xml:space="preserve">If no_venue or no_start is a meaningful fraction of today's slate, S18 gets fixed before Phase D and should be re-rated BLOCKER rather than HIGH. Training a model on a slate where park and weather were null for most rows produces a model that has to be thrown away.</w:t>
            </w:r>
          </w:p>
        </w:tc>
      </w:tr>
    </w:tbl>
    <w:p>
      <w:r>
        <w:br w:type="page"/>
      </w:r>
    </w:p>
    <w:p>
      <w:pPr>
        <w:pStyle w:val="Heading1"/>
        <w:spacing w:after="160" w:before="360"/>
      </w:pPr>
      <w:r>
        <w:t xml:space="preserve">Phase D. Run the pipeline and get the site serving</w:t>
      </w:r>
    </w:p>
    <w:p>
      <w:pPr>
        <w:spacing w:after="120"/>
      </w:pPr>
      <w:r>
        <w:rPr>
          <w:sz w:val="21"/>
          <w:szCs w:val="21"/>
        </w:rPr>
        <w:t xml:space="preserve">This is the phase that produces a working site.</w:t>
      </w:r>
    </w:p>
    <w:p>
      <w:pPr>
        <w:pStyle w:val="Heading3"/>
        <w:spacing w:after="100" w:before="240"/>
      </w:pPr>
      <w:r>
        <w:t xml:space="preserve">D1. Full orchestration run for today</w:t>
      </w:r>
    </w:p>
    <w:p>
      <w:pPr>
        <w:spacing w:after="40" w:before="40"/>
        <w:ind w:left="360"/>
      </w:pPr>
      <w:r>
        <w:rPr>
          <w:rFonts w:ascii="Consolas" w:cs="Consolas" w:eastAsia="Consolas" w:hAnsi="Consolas"/>
          <w:sz w:val="17"/>
          <w:szCs w:val="17"/>
        </w:rPr>
        <w:t xml:space="preserve">POST /api/analyst/orchestration/run</w:t>
      </w:r>
    </w:p>
    <w:p>
      <w:pPr>
        <w:spacing w:after="120"/>
      </w:pPr>
      <w:r>
        <w:rPr>
          <w:sz w:val="21"/>
          <w:szCs w:val="21"/>
        </w:rPr>
        <w:t xml:space="preserve">Report every step individually with its status and detail: fantasypros_ingest, fantasypros_baseline, research_refresh, bullpen_refresh, tb_engine, xbh_engine, walk_engine, hr_engine, hrrbi_engine, market_board, health_check, feature_snapshot_freeze.</w:t>
      </w:r>
    </w:p>
    <w:p>
      <w:pPr>
        <w:spacing w:after="120"/>
      </w:pPr>
      <w:r>
        <w:rPr>
          <w:sz w:val="21"/>
          <w:szCs w:val="21"/>
        </w:rPr>
        <w:t xml:space="preserve">Apply the Task 3.5 rule when reading the result: a step that returns an empty result on a day with a real slate is a failure even if it reports SUCCESS. Report expected versus actual counts wherever a step returned nothing.</w:t>
      </w:r>
    </w:p>
    <w:p>
      <w:pPr>
        <w:pStyle w:val="Heading3"/>
        <w:spacing w:after="100" w:before="240"/>
      </w:pPr>
      <w:r>
        <w:t xml:space="preserve">D2. Read the board</w:t>
      </w:r>
    </w:p>
    <w:p>
      <w:pPr>
        <w:spacing w:after="40" w:before="40"/>
        <w:ind w:left="360"/>
      </w:pPr>
      <w:r>
        <w:rPr>
          <w:rFonts w:ascii="Consolas" w:cs="Consolas" w:eastAsia="Consolas" w:hAnsi="Consolas"/>
          <w:sz w:val="17"/>
          <w:szCs w:val="17"/>
        </w:rPr>
        <w:t xml:space="preserve">SELECT market, research_state, count(*) FROM daily_market_board</w:t>
      </w:r>
    </w:p>
    <w:p>
      <w:pPr>
        <w:spacing w:after="40" w:before="40"/>
        <w:ind w:left="360"/>
      </w:pPr>
      <w:r>
        <w:rPr>
          <w:rFonts w:ascii="Consolas" w:cs="Consolas" w:eastAsia="Consolas" w:hAnsi="Consolas"/>
          <w:sz w:val="17"/>
          <w:szCs w:val="17"/>
        </w:rPr>
        <w:t xml:space="preserve"> WHERE slate_date = CURRENT_DATE GROUP BY 1,2 ORDER BY 1,2;</w:t>
      </w:r>
    </w:p>
    <w:p>
      <w:pPr>
        <w:spacing w:after="40" w:before="40"/>
        <w:ind w:left="360"/>
      </w:pPr>
      <w:r>
        <w:rPr>
          <w:rFonts w:ascii="Consolas" w:cs="Consolas" w:eastAsia="Consolas" w:hAnsi="Consolas"/>
          <w:sz w:val="17"/>
          <w:szCs w:val="17"/>
        </w:rPr>
        <w:t xml:space="preserve"/>
      </w:r>
    </w:p>
    <w:p>
      <w:pPr>
        <w:spacing w:after="40" w:before="40"/>
        <w:ind w:left="360"/>
      </w:pPr>
      <w:r>
        <w:rPr>
          <w:rFonts w:ascii="Consolas" w:cs="Consolas" w:eastAsia="Consolas" w:hAnsi="Consolas"/>
          <w:sz w:val="17"/>
          <w:szCs w:val="17"/>
        </w:rPr>
        <w:t xml:space="preserve">SELECT confidence_basis, count(*) FROM daily_market_board</w:t>
      </w:r>
    </w:p>
    <w:p>
      <w:pPr>
        <w:spacing w:after="40" w:before="40"/>
        <w:ind w:left="360"/>
      </w:pPr>
      <w:r>
        <w:rPr>
          <w:rFonts w:ascii="Consolas" w:cs="Consolas" w:eastAsia="Consolas" w:hAnsi="Consolas"/>
          <w:sz w:val="17"/>
          <w:szCs w:val="17"/>
        </w:rPr>
        <w:t xml:space="preserve"> WHERE slate_date = CURRENT_DATE GROUP BY 1;</w:t>
      </w:r>
    </w:p>
    <w:p>
      <w:pPr>
        <w:spacing w:after="120"/>
      </w:pPr>
      <w:r>
        <w:rPr>
          <w:sz w:val="21"/>
          <w:szCs w:val="21"/>
        </w:rPr>
        <w:t xml:space="preserve">Expect four markets populated with a spread of research states, and confidence_basis entirely RESEARCH_ONLY. That second result is correct at this stage and is what Phase E changes.</w:t>
      </w:r>
    </w:p>
    <w:p>
      <w:pPr>
        <w:pStyle w:val="Heading3"/>
        <w:spacing w:after="100" w:before="240"/>
      </w:pPr>
      <w:r>
        <w:t xml:space="preserve">D3. Confirm the board invariant holds</w:t>
      </w:r>
    </w:p>
    <w:p>
      <w:pPr>
        <w:spacing w:after="120"/>
      </w:pPr>
      <w:r>
        <w:rPr>
          <w:sz w:val="21"/>
          <w:szCs w:val="21"/>
        </w:rPr>
        <w:t xml:space="preserve">Task 2.1 added an invariant: after every refresh, the set of player-game-market rows on daily_market_board must equal the set of non-BLOCKED candidates. Confirm the refresh asserted it rather than passing quietly. A BLOCKED candidate surviving on the board is the code version of the late-scratch lesson.</w:t>
      </w:r>
    </w:p>
    <w:p>
      <w:pPr>
        <w:pStyle w:val="Heading3"/>
        <w:spacing w:after="100" w:before="240"/>
      </w:pPr>
      <w:r>
        <w:t xml:space="preserve">D4. Round Robin, and the Task 2.2 evidence</w:t>
      </w:r>
    </w:p>
    <w:p>
      <w:pPr>
        <w:spacing w:after="40" w:before="40"/>
        <w:ind w:left="360"/>
      </w:pPr>
      <w:r>
        <w:rPr>
          <w:rFonts w:ascii="Consolas" w:cs="Consolas" w:eastAsia="Consolas" w:hAnsi="Consolas"/>
          <w:sz w:val="17"/>
          <w:szCs w:val="17"/>
        </w:rPr>
        <w:t xml:space="preserve">GET /api/analyst/round-robin/comparison?date=CURRENT_DATE</w:t>
      </w:r>
    </w:p>
    <w:p>
      <w:pPr>
        <w:spacing w:after="120"/>
      </w:pPr>
      <w:r>
        <w:rPr>
          <w:sz w:val="21"/>
          <w:szCs w:val="21"/>
        </w:rPr>
        <w:t xml:space="preserve">Report how many games return a pair versus how many return NO_LEGAL_CONSTRUCTION, with the reason for each that does not. This is the after-number the remediation plan asked for when the bullpen veto was removed.</w:t>
      </w:r>
    </w:p>
    <w:p>
      <w:pPr>
        <w:spacing w:after="120"/>
      </w:pPr>
      <w:r>
        <w:rPr>
          <w:sz w:val="21"/>
          <w:szCs w:val="21"/>
        </w:rPr>
        <w:t xml:space="preserve">A game with fully researched hitters, a known starter and a missing bullpen leverage map must now return a pair with a stated caveat. If it still returns NO_LEGAL_CONSTRUCTION for a bullpen reason, the veto survived somewhere and needs finding.</w:t>
      </w:r>
    </w:p>
    <w:p>
      <w:pPr>
        <w:pStyle w:val="Heading3"/>
        <w:spacing w:after="100" w:before="240"/>
      </w:pPr>
      <w:r>
        <w:t xml:space="preserve">D5. Load the site</w:t>
      </w:r>
    </w:p>
    <w:p>
      <w:pPr>
        <w:pStyle w:val="ListParagraph"/>
        <w:numPr>
          <w:ilvl w:val="0"/>
          <w:numId w:val="2"/>
        </w:numPr>
        <w:spacing w:after="60"/>
      </w:pPr>
      <w:r>
        <w:rPr>
          <w:sz w:val="21"/>
          <w:szCs w:val="21"/>
        </w:rPr>
        <w:t xml:space="preserve">Confirm the readiness strip renders on every page.</w:t>
      </w:r>
    </w:p>
    <w:p>
      <w:pPr>
        <w:pStyle w:val="ListParagraph"/>
        <w:numPr>
          <w:ilvl w:val="0"/>
          <w:numId w:val="2"/>
        </w:numPr>
        <w:spacing w:after="60"/>
      </w:pPr>
      <w:r>
        <w:rPr>
          <w:sz w:val="21"/>
          <w:szCs w:val="21"/>
        </w:rPr>
        <w:t xml:space="preserve">Confirm the board shows rows and the research-only count is displayed as a first-class metric.</w:t>
      </w:r>
    </w:p>
    <w:p>
      <w:pPr>
        <w:pStyle w:val="ListParagraph"/>
        <w:numPr>
          <w:ilvl w:val="0"/>
          <w:numId w:val="2"/>
        </w:numPr>
        <w:spacing w:after="60"/>
      </w:pPr>
      <w:r>
        <w:rPr>
          <w:sz w:val="21"/>
          <w:szCs w:val="21"/>
        </w:rPr>
        <w:t xml:space="preserve">Confirm nothing returns 500. Report any console error and any failed network request with its path and status.</w:t>
      </w:r>
    </w:p>
    <w:p>
      <w:pPr>
        <w:pStyle w:val="ListParagraph"/>
        <w:numPr>
          <w:ilvl w:val="0"/>
          <w:numId w:val="2"/>
        </w:numPr>
        <w:spacing w:after="60"/>
      </w:pPr>
      <w:r>
        <w:rPr>
          <w:sz w:val="21"/>
          <w:szCs w:val="21"/>
        </w:rPr>
        <w:t xml:space="preserve">Confirm the Round Robin page renders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color="auto" w:val="clear"/>
            <w:tcMar>
              <w:top w:type="dxa" w:w="140"/>
              <w:left w:type="dxa" w:w="180"/>
              <w:bottom w:type="dxa" w:w="140"/>
              <w:right w:type="dxa" w:w="180"/>
            </w:tcMar>
          </w:tcPr>
          <w:p>
            <w:pPr>
              <w:spacing w:after="80"/>
            </w:pPr>
            <w:r>
              <w:rPr>
                <w:b/>
                <w:bCs/>
                <w:color w:val="8B0000"/>
                <w:sz w:val="22"/>
                <w:szCs w:val="22"/>
              </w:rPr>
              <w:t xml:space="preserve">STOP. Report before continuing.</w:t>
            </w:r>
          </w:p>
          <w:p>
            <w:pPr>
              <w:spacing w:after="60"/>
            </w:pPr>
            <w:r>
              <w:rPr>
                <w:sz w:val="20"/>
                <w:szCs w:val="20"/>
              </w:rPr>
              <w:t xml:space="preserve">Report Phase D. At this point the site is functionally working: real research ranks, evidence behind every row, pairs surfacing, no runtime errors, and the confidence layer correctly and visibly dormant.</w:t>
            </w:r>
          </w:p>
        </w:tc>
      </w:tr>
    </w:tbl>
    <w:p>
      <w:r>
        <w:br w:type="page"/>
      </w:r>
    </w:p>
    <w:p>
      <w:pPr>
        <w:pStyle w:val="Heading1"/>
        <w:spacing w:after="160" w:before="360"/>
      </w:pPr>
      <w:r>
        <w:t xml:space="preserve">Phase E. The confidence layer, only if the data supports it</w:t>
      </w:r>
    </w:p>
    <w:p>
      <w:pPr>
        <w:spacing w:after="120"/>
      </w:pPr>
      <w:r>
        <w:rPr>
          <w:sz w:val="21"/>
          <w:szCs w:val="21"/>
        </w:rPr>
        <w:t xml:space="preserve">Optional. Everything before this gives a working site. This is what turns RESEARCH_ONLY into a calibrated probability, and it may not be reachable today.</w:t>
      </w:r>
    </w:p>
    <w:p>
      <w:pPr>
        <w:pStyle w:val="Heading3"/>
        <w:spacing w:after="100" w:before="240"/>
      </w:pPr>
      <w:r>
        <w:t xml:space="preserve">E1. Pre-flight, one minute, before spending an hour</w:t>
      </w:r>
    </w:p>
    <w:p>
      <w:pPr>
        <w:spacing w:after="40" w:before="40"/>
        <w:ind w:left="360"/>
      </w:pPr>
      <w:r>
        <w:rPr>
          <w:rFonts w:ascii="Consolas" w:cs="Consolas" w:eastAsia="Consolas" w:hAnsi="Consolas"/>
          <w:sz w:val="17"/>
          <w:szCs w:val="17"/>
        </w:rPr>
        <w:t xml:space="preserve">SELECT pfs.market, count(DISTINCT pfs.slate_date) AS usable_slates</w:t>
      </w:r>
    </w:p>
    <w:p>
      <w:pPr>
        <w:spacing w:after="40" w:before="40"/>
        <w:ind w:left="360"/>
      </w:pPr>
      <w:r>
        <w:rPr>
          <w:rFonts w:ascii="Consolas" w:cs="Consolas" w:eastAsia="Consolas" w:hAnsi="Consolas"/>
          <w:sz w:val="17"/>
          <w:szCs w:val="17"/>
        </w:rPr>
        <w:t xml:space="preserve">FROM pregame_feature_snapshots pfs</w:t>
      </w:r>
    </w:p>
    <w:p>
      <w:pPr>
        <w:spacing w:after="40" w:before="40"/>
        <w:ind w:left="360"/>
      </w:pPr>
      <w:r>
        <w:rPr>
          <w:rFonts w:ascii="Consolas" w:cs="Consolas" w:eastAsia="Consolas" w:hAnsi="Consolas"/>
          <w:sz w:val="17"/>
          <w:szCs w:val="17"/>
        </w:rPr>
        <w:t xml:space="preserve">JOIN historical_outcomes ho</w:t>
      </w:r>
    </w:p>
    <w:p>
      <w:pPr>
        <w:spacing w:after="40" w:before="40"/>
        <w:ind w:left="360"/>
      </w:pPr>
      <w:r>
        <w:rPr>
          <w:rFonts w:ascii="Consolas" w:cs="Consolas" w:eastAsia="Consolas" w:hAnsi="Consolas"/>
          <w:sz w:val="17"/>
          <w:szCs w:val="17"/>
        </w:rPr>
        <w:t xml:space="preserve">  ON ho.player_id = pfs.player_id AND ho.game_pk = pfs.game_pk</w:t>
      </w:r>
    </w:p>
    <w:p>
      <w:pPr>
        <w:spacing w:after="40" w:before="40"/>
        <w:ind w:left="360"/>
      </w:pPr>
      <w:r>
        <w:rPr>
          <w:rFonts w:ascii="Consolas" w:cs="Consolas" w:eastAsia="Consolas" w:hAnsi="Consolas"/>
          <w:sz w:val="17"/>
          <w:szCs w:val="17"/>
        </w:rPr>
        <w:t xml:space="preserve"> AND ho.market = pfs.market AND ho.slate_date = pfs.slate_date</w:t>
      </w:r>
    </w:p>
    <w:p>
      <w:pPr>
        <w:spacing w:after="40" w:before="40"/>
        <w:ind w:left="360"/>
      </w:pPr>
      <w:r>
        <w:rPr>
          <w:rFonts w:ascii="Consolas" w:cs="Consolas" w:eastAsia="Consolas" w:hAnsi="Consolas"/>
          <w:sz w:val="17"/>
          <w:szCs w:val="17"/>
        </w:rPr>
        <w:t xml:space="preserve">WHERE ho.settlement_state = 'SETTLED'</w:t>
      </w:r>
    </w:p>
    <w:p>
      <w:pPr>
        <w:spacing w:after="40" w:before="40"/>
        <w:ind w:left="360"/>
      </w:pPr>
      <w:r>
        <w:rPr>
          <w:rFonts w:ascii="Consolas" w:cs="Consolas" w:eastAsia="Consolas" w:hAnsi="Consolas"/>
          <w:sz w:val="17"/>
          <w:szCs w:val="17"/>
        </w:rPr>
        <w:t xml:space="preserve">  AND ho.source_id = 'MLB_OFFICIAL'</w:t>
      </w:r>
    </w:p>
    <w:p>
      <w:pPr>
        <w:spacing w:after="40" w:before="40"/>
        <w:ind w:left="360"/>
      </w:pPr>
      <w:r>
        <w:rPr>
          <w:rFonts w:ascii="Consolas" w:cs="Consolas" w:eastAsia="Consolas" w:hAnsi="Consolas"/>
          <w:sz w:val="17"/>
          <w:szCs w:val="17"/>
        </w:rPr>
        <w:t xml:space="preserve">GROUP BY 1;</w:t>
      </w:r>
    </w:p>
    <w:p>
      <w:pPr>
        <w:spacing w:after="120"/>
      </w:pPr>
      <w:r>
        <w:rPr>
          <w:sz w:val="21"/>
          <w:szCs w:val="21"/>
        </w:rPr>
        <w:t xml:space="preserve">Fewer than ten distinct slates in a market means validation returns INCOMPLETE on data volume. Report the counts and stop there for those markets. Do not train them.</w:t>
      </w:r>
    </w:p>
    <w:p>
      <w:pPr>
        <w:pStyle w:val="Heading3"/>
        <w:spacing w:after="100" w:before="240"/>
      </w:pPr>
      <w:r>
        <w:t xml:space="preserve">E2. Capture the before-numbers</w:t>
      </w:r>
    </w:p>
    <w:p>
      <w:pPr>
        <w:spacing w:after="40" w:before="40"/>
        <w:ind w:left="360"/>
      </w:pPr>
      <w:r>
        <w:rPr>
          <w:rFonts w:ascii="Consolas" w:cs="Consolas" w:eastAsia="Consolas" w:hAnsi="Consolas"/>
          <w:sz w:val="17"/>
          <w:szCs w:val="17"/>
        </w:rPr>
        <w:t xml:space="preserve">SELECT confidence_basis, count(*) FROM daily_market_board GROUP BY 1;</w:t>
      </w:r>
    </w:p>
    <w:p>
      <w:pPr>
        <w:spacing w:after="40" w:before="40"/>
        <w:ind w:left="360"/>
      </w:pPr>
      <w:r>
        <w:rPr>
          <w:rFonts w:ascii="Consolas" w:cs="Consolas" w:eastAsia="Consolas" w:hAnsi="Consolas"/>
          <w:sz w:val="17"/>
          <w:szCs w:val="17"/>
        </w:rPr>
        <w:t xml:space="preserve">SELECT status, count(*) FROM model_versions GROUP BY 1;</w:t>
      </w:r>
    </w:p>
    <w:p>
      <w:pPr>
        <w:spacing w:after="120"/>
      </w:pPr>
      <w:r>
        <w:rPr>
          <w:sz w:val="21"/>
          <w:szCs w:val="21"/>
        </w:rPr>
        <w:t xml:space="preserve">These are the Task 1.5 acceptance evidence and they are gone once you refresh. Expect one row of RESEARCH_ONLY, and 7 CANDIDATE plus 1 FAILED.</w:t>
      </w:r>
    </w:p>
    <w:p>
      <w:pPr>
        <w:pStyle w:val="Heading3"/>
        <w:spacing w:after="100" w:before="240"/>
      </w:pPr>
      <w:r>
        <w:t xml:space="preserve">E3. Retrain from scratch</w:t>
      </w:r>
    </w:p>
    <w:p>
      <w:pPr>
        <w:spacing w:after="120"/>
      </w:pPr>
      <w:r>
        <w:rPr>
          <w:sz w:val="21"/>
          <w:szCs w:val="21"/>
        </w:rPr>
        <w:t xml:space="preserve">Every existing artifact was fitted by the summed-univariate-slopes code and carries the old algorithm string. parseModelArtifact rejects them deliberately rather than reinterpreting them. All seven CANDIDATE versions are dead weight.</w:t>
      </w:r>
    </w:p>
    <w:p>
      <w:pPr>
        <w:spacing w:after="40" w:before="40"/>
        <w:ind w:left="360"/>
      </w:pPr>
      <w:r>
        <w:rPr>
          <w:rFonts w:ascii="Consolas" w:cs="Consolas" w:eastAsia="Consolas" w:hAnsi="Consolas"/>
          <w:sz w:val="17"/>
          <w:szCs w:val="17"/>
        </w:rPr>
        <w:t xml:space="preserve">POST /api/analyst/models/train?market=TB   then XBH, WALK, HR</w:t>
      </w:r>
    </w:p>
    <w:p>
      <w:pPr>
        <w:spacing w:after="120"/>
      </w:pPr>
      <w:r>
        <w:rPr>
          <w:sz w:val="21"/>
          <w:szCs w:val="21"/>
        </w:rPr>
        <w:t xml:space="preserve">Expect the training row count to drop. The training query now excludes snapshots frozen at or after first pitch and rows settled without a snapshot. That is the leakage fix and the settlement fix working, not a regression.</w:t>
      </w:r>
    </w:p>
    <w:p>
      <w:pPr>
        <w:pStyle w:val="Heading3"/>
        <w:spacing w:after="100" w:before="240"/>
      </w:pPr>
      <w:r>
        <w:t xml:space="preserve">E4. Validate, and expect failures</w:t>
      </w:r>
    </w:p>
    <w:p>
      <w:pPr>
        <w:spacing w:after="120"/>
      </w:pPr>
      <w:r>
        <w:rPr>
          <w:sz w:val="21"/>
          <w:szCs w:val="21"/>
        </w:rPr>
        <w:t xml:space="preserve">Report per market: fold count, expected calibration error, prediction standard deviation, and Brier margin. A passing model clears four gates at once, and none may be loosened to get a model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shd w:fill="D9E2F3" w:color="auto" w:val="clear"/>
            <w:tcMar>
              <w:top w:type="dxa" w:w="60"/>
              <w:left w:type="dxa" w:w="100"/>
              <w:bottom w:type="dxa" w:w="60"/>
              <w:right w:type="dxa" w:w="100"/>
            </w:tcMar>
          </w:tcPr>
          <w:p>
            <w:r>
              <w:rPr>
                <w:b/>
                <w:bCs/>
                <w:sz w:val="18"/>
                <w:szCs w:val="18"/>
              </w:rPr>
              <w:t xml:space="preserve">Gate</w:t>
            </w:r>
          </w:p>
        </w:tc>
        <w:tc>
          <w:tcPr>
            <w:tcW w:type="dxa" w:w="2400"/>
            <w:shd w:fill="D9E2F3" w:color="auto" w:val="clear"/>
            <w:tcMar>
              <w:top w:type="dxa" w:w="60"/>
              <w:left w:type="dxa" w:w="100"/>
              <w:bottom w:type="dxa" w:w="60"/>
              <w:right w:type="dxa" w:w="100"/>
            </w:tcMar>
          </w:tcPr>
          <w:p>
            <w:r>
              <w:rPr>
                <w:b/>
                <w:bCs/>
                <w:sz w:val="18"/>
                <w:szCs w:val="18"/>
              </w:rPr>
              <w:t xml:space="preserve">Threshold</w:t>
            </w:r>
          </w:p>
        </w:tc>
        <w:tc>
          <w:tcPr>
            <w:tcW w:type="dxa" w:w="4360"/>
            <w:shd w:fill="D9E2F3" w:color="auto" w:val="clear"/>
            <w:tcMar>
              <w:top w:type="dxa" w:w="60"/>
              <w:left w:type="dxa" w:w="100"/>
              <w:bottom w:type="dxa" w:w="60"/>
              <w:right w:type="dxa" w:w="100"/>
            </w:tcMar>
          </w:tcPr>
          <w:p>
            <w:r>
              <w:rPr>
                <w:b/>
                <w:bCs/>
                <w:sz w:val="18"/>
                <w:szCs w:val="18"/>
              </w:rPr>
              <w:t xml:space="preserve">What it prevents</w:t>
            </w:r>
          </w:p>
        </w:tc>
      </w:tr>
      <w:tr>
        <w:tc>
          <w:tcPr>
            <w:tcW w:type="dxa" w:w="2600"/>
            <w:tcMar>
              <w:top w:type="dxa" w:w="60"/>
              <w:left w:type="dxa" w:w="100"/>
              <w:bottom w:type="dxa" w:w="60"/>
              <w:right w:type="dxa" w:w="100"/>
            </w:tcMar>
          </w:tcPr>
          <w:p>
            <w:r>
              <w:rPr>
                <w:b w:val="false"/>
                <w:bCs w:val="false"/>
                <w:sz w:val="18"/>
                <w:szCs w:val="18"/>
              </w:rPr>
              <w:t xml:space="preserve">Expected calibration error</w:t>
            </w:r>
          </w:p>
        </w:tc>
        <w:tc>
          <w:tcPr>
            <w:tcW w:type="dxa" w:w="2400"/>
            <w:tcMar>
              <w:top w:type="dxa" w:w="60"/>
              <w:left w:type="dxa" w:w="100"/>
              <w:bottom w:type="dxa" w:w="60"/>
              <w:right w:type="dxa" w:w="100"/>
            </w:tcMar>
          </w:tcPr>
          <w:p>
            <w:r>
              <w:rPr>
                <w:b w:val="false"/>
                <w:bCs w:val="false"/>
                <w:sz w:val="18"/>
                <w:szCs w:val="18"/>
              </w:rPr>
              <w:t xml:space="preserve">at or below 0.05</w:t>
            </w:r>
          </w:p>
        </w:tc>
        <w:tc>
          <w:tcPr>
            <w:tcW w:type="dxa" w:w="4360"/>
            <w:tcMar>
              <w:top w:type="dxa" w:w="60"/>
              <w:left w:type="dxa" w:w="100"/>
              <w:bottom w:type="dxa" w:w="60"/>
              <w:right w:type="dxa" w:w="100"/>
            </w:tcMar>
          </w:tcPr>
          <w:p>
            <w:r>
              <w:rPr>
                <w:b w:val="false"/>
                <w:bCs w:val="false"/>
                <w:sz w:val="18"/>
                <w:szCs w:val="18"/>
              </w:rPr>
              <w:t xml:space="preserve">The old gate was mean absolute error against binary labels, which rewarded overconfidence and rejected honest probabilities.</w:t>
            </w:r>
          </w:p>
        </w:tc>
      </w:tr>
      <w:tr>
        <w:tc>
          <w:tcPr>
            <w:tcW w:type="dxa" w:w="2600"/>
            <w:tcMar>
              <w:top w:type="dxa" w:w="60"/>
              <w:left w:type="dxa" w:w="100"/>
              <w:bottom w:type="dxa" w:w="60"/>
              <w:right w:type="dxa" w:w="100"/>
            </w:tcMar>
          </w:tcPr>
          <w:p>
            <w:r>
              <w:rPr>
                <w:b w:val="false"/>
                <w:bCs w:val="false"/>
                <w:sz w:val="18"/>
                <w:szCs w:val="18"/>
              </w:rPr>
              <w:t xml:space="preserve">Prediction standard deviation</w:t>
            </w:r>
          </w:p>
        </w:tc>
        <w:tc>
          <w:tcPr>
            <w:tcW w:type="dxa" w:w="2400"/>
            <w:tcMar>
              <w:top w:type="dxa" w:w="60"/>
              <w:left w:type="dxa" w:w="100"/>
              <w:bottom w:type="dxa" w:w="60"/>
              <w:right w:type="dxa" w:w="100"/>
            </w:tcMar>
          </w:tcPr>
          <w:p>
            <w:r>
              <w:rPr>
                <w:b w:val="false"/>
                <w:bCs w:val="false"/>
                <w:sz w:val="18"/>
                <w:szCs w:val="18"/>
              </w:rPr>
              <w:t xml:space="preserve">above 0.03</w:t>
            </w:r>
          </w:p>
        </w:tc>
        <w:tc>
          <w:tcPr>
            <w:tcW w:type="dxa" w:w="4360"/>
            <w:tcMar>
              <w:top w:type="dxa" w:w="60"/>
              <w:left w:type="dxa" w:w="100"/>
              <w:bottom w:type="dxa" w:w="60"/>
              <w:right w:type="dxa" w:w="100"/>
            </w:tcMar>
          </w:tcPr>
          <w:p>
            <w:r>
              <w:rPr>
                <w:b w:val="false"/>
                <w:bCs w:val="false"/>
                <w:sz w:val="18"/>
                <w:szCs w:val="18"/>
              </w:rPr>
              <w:t xml:space="preserve">A model passing by predicting the base rate for every row.</w:t>
            </w:r>
          </w:p>
        </w:tc>
      </w:tr>
      <w:tr>
        <w:tc>
          <w:tcPr>
            <w:tcW w:type="dxa" w:w="2600"/>
            <w:tcMar>
              <w:top w:type="dxa" w:w="60"/>
              <w:left w:type="dxa" w:w="100"/>
              <w:bottom w:type="dxa" w:w="60"/>
              <w:right w:type="dxa" w:w="100"/>
            </w:tcMar>
          </w:tcPr>
          <w:p>
            <w:r>
              <w:rPr>
                <w:b w:val="false"/>
                <w:bCs w:val="false"/>
                <w:sz w:val="18"/>
                <w:szCs w:val="18"/>
              </w:rPr>
              <w:t xml:space="preserve">Brier skill margin</w:t>
            </w:r>
          </w:p>
        </w:tc>
        <w:tc>
          <w:tcPr>
            <w:tcW w:type="dxa" w:w="2400"/>
            <w:tcMar>
              <w:top w:type="dxa" w:w="60"/>
              <w:left w:type="dxa" w:w="100"/>
              <w:bottom w:type="dxa" w:w="60"/>
              <w:right w:type="dxa" w:w="100"/>
            </w:tcMar>
          </w:tcPr>
          <w:p>
            <w:r>
              <w:rPr>
                <w:b w:val="false"/>
                <w:bCs w:val="false"/>
                <w:sz w:val="18"/>
                <w:szCs w:val="18"/>
              </w:rPr>
              <w:t xml:space="preserve">derived from held-out row count</w:t>
            </w:r>
          </w:p>
        </w:tc>
        <w:tc>
          <w:tcPr>
            <w:tcW w:type="dxa" w:w="4360"/>
            <w:tcMar>
              <w:top w:type="dxa" w:w="60"/>
              <w:left w:type="dxa" w:w="100"/>
              <w:bottom w:type="dxa" w:w="60"/>
              <w:right w:type="dxa" w:w="100"/>
            </w:tcMar>
          </w:tcPr>
          <w:p>
            <w:r>
              <w:rPr>
                <w:b w:val="false"/>
                <w:bCs w:val="false"/>
                <w:sz w:val="18"/>
                <w:szCs w:val="18"/>
              </w:rPr>
              <w:t xml:space="preserve">A margin of 0.001, which was noise on any realistic sample.</w:t>
            </w:r>
          </w:p>
        </w:tc>
      </w:tr>
      <w:tr>
        <w:tc>
          <w:tcPr>
            <w:tcW w:type="dxa" w:w="2600"/>
            <w:tcMar>
              <w:top w:type="dxa" w:w="60"/>
              <w:left w:type="dxa" w:w="100"/>
              <w:bottom w:type="dxa" w:w="60"/>
              <w:right w:type="dxa" w:w="100"/>
            </w:tcMar>
          </w:tcPr>
          <w:p>
            <w:r>
              <w:rPr>
                <w:b w:val="false"/>
                <w:bCs w:val="false"/>
                <w:sz w:val="18"/>
                <w:szCs w:val="18"/>
              </w:rPr>
              <w:t xml:space="preserve">Fold count</w:t>
            </w:r>
          </w:p>
        </w:tc>
        <w:tc>
          <w:tcPr>
            <w:tcW w:type="dxa" w:w="2400"/>
            <w:tcMar>
              <w:top w:type="dxa" w:w="60"/>
              <w:left w:type="dxa" w:w="100"/>
              <w:bottom w:type="dxa" w:w="60"/>
              <w:right w:type="dxa" w:w="100"/>
            </w:tcMar>
          </w:tcPr>
          <w:p>
            <w:r>
              <w:rPr>
                <w:b w:val="false"/>
                <w:bCs w:val="false"/>
                <w:sz w:val="18"/>
                <w:szCs w:val="18"/>
              </w:rPr>
              <w:t xml:space="preserve">at least 5</w:t>
            </w:r>
          </w:p>
        </w:tc>
        <w:tc>
          <w:tcPr>
            <w:tcW w:type="dxa" w:w="4360"/>
            <w:tcMar>
              <w:top w:type="dxa" w:w="60"/>
              <w:left w:type="dxa" w:w="100"/>
              <w:bottom w:type="dxa" w:w="60"/>
              <w:right w:type="dxa" w:w="100"/>
            </w:tcMar>
          </w:tcPr>
          <w:p>
            <w:r>
              <w:rPr>
                <w:b w:val="false"/>
                <w:bCs w:val="false"/>
                <w:sz w:val="18"/>
                <w:szCs w:val="18"/>
              </w:rPr>
              <w:t xml:space="preserve">Two folds, which is not a walk-forward validation.</w:t>
            </w:r>
          </w:p>
        </w:tc>
      </w:tr>
    </w:tbl>
    <w:p>
      <w:pPr>
        <w:pStyle w:val="Heading3"/>
        <w:spacing w:after="100" w:before="240"/>
      </w:pPr>
      <w:r>
        <w:t xml:space="preserve">E5. Promote, deliberately</w:t>
      </w:r>
    </w:p>
    <w:p>
      <w:pPr>
        <w:spacing w:after="40" w:before="40"/>
        <w:ind w:left="360"/>
      </w:pPr>
      <w:r>
        <w:rPr>
          <w:rFonts w:ascii="Consolas" w:cs="Consolas" w:eastAsia="Consolas" w:hAnsi="Consolas"/>
          <w:sz w:val="17"/>
          <w:szCs w:val="17"/>
        </w:rPr>
        <w:t xml:space="preserve">POST /api/analyst/models/:versionId/promote</w:t>
      </w:r>
    </w:p>
    <w:p>
      <w:pPr>
        <w:spacing w:after="120"/>
      </w:pPr>
      <w:r>
        <w:rPr>
          <w:sz w:val="21"/>
          <w:szCs w:val="21"/>
        </w:rPr>
        <w:t xml:space="preserve">Operator-initiated only. Not reachable from the pipeline. It refuses with a named reason if any gate is unmet, retires the displaced model for that market in the same transaction, and writes an audit event. Exactly one ACTIVE model per market, enforced by a partial unique index rather than only by application code.</w:t>
      </w:r>
    </w:p>
    <w:p>
      <w:pPr>
        <w:spacing w:after="120"/>
      </w:pPr>
      <w:r>
        <w:rPr>
          <w:sz w:val="21"/>
          <w:szCs w:val="21"/>
        </w:rPr>
        <w:t xml:space="preserve">The kill switch is POST /api/analyst/models/:versionId/demote. One call returns a market to research-only on the next board refresh.</w:t>
      </w:r>
    </w:p>
    <w:p>
      <w:pPr>
        <w:pStyle w:val="Heading3"/>
        <w:spacing w:after="100" w:before="240"/>
      </w:pPr>
      <w:r>
        <w:t xml:space="preserve">E6. Refresh and record</w:t>
      </w:r>
    </w:p>
    <w:p>
      <w:pPr>
        <w:spacing w:after="40" w:before="40"/>
        <w:ind w:left="360"/>
      </w:pPr>
      <w:r>
        <w:rPr>
          <w:rFonts w:ascii="Consolas" w:cs="Consolas" w:eastAsia="Consolas" w:hAnsi="Consolas"/>
          <w:sz w:val="17"/>
          <w:szCs w:val="17"/>
        </w:rPr>
        <w:t xml:space="preserve">POST /api/analyst/market-board/refresh</w:t>
      </w:r>
    </w:p>
    <w:p>
      <w:pPr>
        <w:spacing w:after="40" w:before="40"/>
        <w:ind w:left="360"/>
      </w:pPr>
      <w:r>
        <w:rPr>
          <w:rFonts w:ascii="Consolas" w:cs="Consolas" w:eastAsia="Consolas" w:hAnsi="Consolas"/>
          <w:sz w:val="17"/>
          <w:szCs w:val="17"/>
        </w:rPr>
        <w:t xml:space="preserve">SELECT confidence_basis, count(*) FROM daily_market_board</w:t>
      </w:r>
    </w:p>
    <w:p>
      <w:pPr>
        <w:spacing w:after="40" w:before="40"/>
        <w:ind w:left="360"/>
      </w:pPr>
      <w:r>
        <w:rPr>
          <w:rFonts w:ascii="Consolas" w:cs="Consolas" w:eastAsia="Consolas" w:hAnsi="Consolas"/>
          <w:sz w:val="17"/>
          <w:szCs w:val="17"/>
        </w:rPr>
        <w:t xml:space="preserve"> WHERE slate_date = CURRENT_DATE GROUP BY 1;</w:t>
      </w:r>
    </w:p>
    <w:p>
      <w:pPr>
        <w:spacing w:after="120"/>
      </w:pPr>
      <w:r>
        <w:rPr>
          <w:sz w:val="21"/>
          <w:szCs w:val="21"/>
        </w:rPr>
        <w:t xml:space="preserve">Before the remediation this returned exactly one row: RESEARCH_ONLY, 1472. Anything else is the confidence layer running for the first time in the life of the application.</w:t>
      </w:r>
    </w:p>
    <w:p>
      <w:r>
        <w:br w:type="page"/>
      </w:r>
    </w:p>
    <w:p>
      <w:pPr>
        <w:pStyle w:val="Heading1"/>
        <w:spacing w:after="160" w:before="360"/>
      </w:pPr>
      <w:r>
        <w:t xml:space="preserve">Phase F. Make it load fast</w:t>
      </w:r>
    </w:p>
    <w:p>
      <w:pPr>
        <w:spacing w:after="120"/>
      </w:pPr>
      <w:r>
        <w:rPr>
          <w:sz w:val="21"/>
          <w:szCs w:val="21"/>
        </w:rPr>
        <w:t xml:space="preserve">Separate from correctness. Do this after the site is serving real data, not before.</w:t>
      </w:r>
    </w:p>
    <w:p>
      <w:pPr>
        <w:pStyle w:val="Heading3"/>
        <w:spacing w:after="100" w:before="240"/>
      </w:pPr>
      <w:r>
        <w:t xml:space="preserve">F1. Code-split the frontend</w:t>
      </w:r>
    </w:p>
    <w:p>
      <w:pPr>
        <w:spacing w:after="120"/>
      </w:pPr>
      <w:r>
        <w:rPr>
          <w:sz w:val="21"/>
          <w:szCs w:val="21"/>
        </w:rPr>
        <w:t xml:space="preserve">The current build warns:</w:t>
      </w:r>
    </w:p>
    <w:p>
      <w:pPr>
        <w:spacing w:after="40" w:before="40"/>
        <w:ind w:left="360"/>
      </w:pPr>
      <w:r>
        <w:rPr>
          <w:rFonts w:ascii="Consolas" w:cs="Consolas" w:eastAsia="Consolas" w:hAnsi="Consolas"/>
          <w:sz w:val="17"/>
          <w:szCs w:val="17"/>
        </w:rPr>
        <w:t xml:space="preserve">dist/public/assets/index-*.js   501.15 kB  gzip: 149.56 kB</w:t>
      </w:r>
    </w:p>
    <w:p>
      <w:pPr>
        <w:spacing w:after="40" w:before="40"/>
        <w:ind w:left="360"/>
      </w:pPr>
      <w:r>
        <w:rPr>
          <w:rFonts w:ascii="Consolas" w:cs="Consolas" w:eastAsia="Consolas" w:hAnsi="Consolas"/>
          <w:sz w:val="17"/>
          <w:szCs w:val="17"/>
        </w:rPr>
        <w:t xml:space="preserve">(!) Some chunks are larger than 500 kB after minification</w:t>
      </w:r>
    </w:p>
    <w:p>
      <w:pPr>
        <w:spacing w:after="120"/>
      </w:pPr>
      <w:r>
        <w:rPr>
          <w:sz w:val="21"/>
          <w:szCs w:val="21"/>
        </w:rPr>
        <w:t xml:space="preserve">One chunk, no splitting. App.tsx is over 100 kB on its own, large enough that standard file tooling cannot read it. This is audit item S14.</w:t>
      </w:r>
    </w:p>
    <w:p>
      <w:pPr>
        <w:pStyle w:val="ListParagraph"/>
        <w:numPr>
          <w:ilvl w:val="0"/>
          <w:numId w:val="2"/>
        </w:numPr>
        <w:spacing w:after="60"/>
      </w:pPr>
      <w:r>
        <w:rPr>
          <w:sz w:val="21"/>
          <w:szCs w:val="21"/>
        </w:rPr>
        <w:t xml:space="preserve">Split App.tsx by page, matching what Task 5.2 did to analyst.ts. There is no ordering hazard here and no unreviewed HTTP surface, so it is a pure decomposition.</w:t>
      </w:r>
    </w:p>
    <w:p>
      <w:pPr>
        <w:pStyle w:val="ListParagraph"/>
        <w:numPr>
          <w:ilvl w:val="0"/>
          <w:numId w:val="2"/>
        </w:numPr>
        <w:spacing w:after="60"/>
      </w:pPr>
      <w:r>
        <w:rPr>
          <w:sz w:val="21"/>
          <w:szCs w:val="21"/>
        </w:rPr>
        <w:t xml:space="preserve">Add a dynamic import per route so the Round Robin page and the AI analyst page are not in the initial bundle.</w:t>
      </w:r>
    </w:p>
    <w:p>
      <w:pPr>
        <w:pStyle w:val="ListParagraph"/>
        <w:numPr>
          <w:ilvl w:val="0"/>
          <w:numId w:val="2"/>
        </w:numPr>
        <w:spacing w:after="60"/>
      </w:pPr>
      <w:r>
        <w:rPr>
          <w:sz w:val="21"/>
          <w:szCs w:val="21"/>
        </w:rPr>
        <w:t xml:space="preserve">Consider manualChunks for the heavy vendor libraries. recharts, framer-motion and the Radix set are the likely candidates. Measure before splitting rather than guessing.</w:t>
      </w:r>
    </w:p>
    <w:p>
      <w:pPr>
        <w:pStyle w:val="ListParagraph"/>
        <w:numPr>
          <w:ilvl w:val="0"/>
          <w:numId w:val="2"/>
        </w:numPr>
        <w:spacing w:after="60"/>
      </w:pPr>
      <w:r>
        <w:rPr>
          <w:sz w:val="21"/>
          <w:szCs w:val="21"/>
        </w:rPr>
        <w:t xml:space="preserve">Target: initial chunk comfortably under 200 kB minified. Report before and after for both raw and gzipped.</w:t>
      </w:r>
    </w:p>
    <w:p>
      <w:pPr>
        <w:pStyle w:val="Heading3"/>
        <w:spacing w:after="100" w:before="240"/>
      </w:pPr>
      <w:r>
        <w:t xml:space="preserve">F2. Server-side response time</w:t>
      </w:r>
    </w:p>
    <w:p>
      <w:pPr>
        <w:spacing w:after="120"/>
      </w:pPr>
      <w:r>
        <w:rPr>
          <w:sz w:val="21"/>
          <w:szCs w:val="21"/>
        </w:rPr>
        <w:t xml:space="preserve">Two known N plus one patterns remain, both scheduled as audit item S10 and both on paths the site calls on load:</w:t>
      </w:r>
    </w:p>
    <w:p>
      <w:pPr>
        <w:pStyle w:val="ListParagraph"/>
        <w:numPr>
          <w:ilvl w:val="0"/>
          <w:numId w:val="2"/>
        </w:numPr>
        <w:spacing w:after="60"/>
      </w:pPr>
      <w:r>
        <w:rPr>
          <w:sz w:val="21"/>
          <w:szCs w:val="21"/>
        </w:rPr>
        <w:t xml:space="preserve">getBullpenRoom issues four separate queries per team inside a loop. Hoist them and fetch across all teams at once, then group in memory.</w:t>
      </w:r>
    </w:p>
    <w:p>
      <w:pPr>
        <w:pStyle w:val="ListParagraph"/>
        <w:numPr>
          <w:ilvl w:val="0"/>
          <w:numId w:val="2"/>
        </w:numPr>
        <w:spacing w:after="60"/>
      </w:pPr>
      <w:r>
        <w:rPr>
          <w:sz w:val="21"/>
          <w:szCs w:val="21"/>
        </w:rPr>
        <w:t xml:space="preserve">walk-engine, xbh-engine and hr-engine each still issue one candidate insert plus roughly six evidence-block inserts per candidate. Task 2.6 applied batching to tb-engine only. Apply the same treatment.</w:t>
      </w:r>
    </w:p>
    <w:p>
      <w:pPr>
        <w:spacing w:after="120"/>
      </w:pPr>
      <w:r>
        <w:rPr>
          <w:sz w:val="21"/>
          <w:szCs w:val="21"/>
        </w:rPr>
        <w:t xml:space="preserve">This is correctness-adjacent, not only speed. A refresh that runs slowly close to first pitch is a refresh that misses the freeze window.</w:t>
      </w:r>
    </w:p>
    <w:p>
      <w:pPr>
        <w:pStyle w:val="Heading3"/>
        <w:spacing w:after="100" w:before="240"/>
      </w:pPr>
      <w:r>
        <w:t xml:space="preserve">F3. Cache scope</w:t>
      </w:r>
    </w:p>
    <w:p>
      <w:pPr>
        <w:spacing w:after="120"/>
      </w:pPr>
      <w:r>
        <w:rPr>
          <w:sz w:val="21"/>
          <w:szCs w:val="21"/>
        </w:rPr>
        <w:t xml:space="preserve">The read-through cache is per-process. With more than one replica, two operators can see different board data for the length of the board cache policy, and invalidateCache after a refresh clears one process's copy only. Fine for a single process. State it in replit.md before a second replica exists, and revisit if autoscale ever runs more than one.</w:t>
      </w:r>
    </w:p>
    <w:p>
      <w:pPr>
        <w:pStyle w:val="Heading3"/>
        <w:spacing w:after="100" w:before="240"/>
      </w:pPr>
      <w:r>
        <w:t xml:space="preserve">F4. Remove the dead weight from the build</w:t>
      </w:r>
    </w:p>
    <w:p>
      <w:pPr>
        <w:spacing w:after="120"/>
      </w:pPr>
      <w:r>
        <w:rPr>
          <w:sz w:val="21"/>
          <w:szCs w:val="21"/>
        </w:rPr>
        <w:t xml:space="preserve">artifacts/mockup-sandbox is the Canvas component-preview scaffold. It has no production service and never deploys, but it compiles a 187 kB bundle on every build. PR #2 excluded it from the default build. Confirm that took effect and consider deleting the artifact outright.</w:t>
      </w:r>
    </w:p>
    <w:p>
      <w:pPr>
        <w:pStyle w:val="Heading3"/>
        <w:spacing w:after="100" w:before="240"/>
      </w:pPr>
      <w:r>
        <w:t xml:space="preserve">F5. The cosmetic one</w:t>
      </w:r>
    </w:p>
    <w:p>
      <w:pPr>
        <w:spacing w:after="120"/>
      </w:pPr>
      <w:r>
        <w:rPr>
          <w:sz w:val="21"/>
          <w:szCs w:val="21"/>
        </w:rPr>
        <w:t xml:space="preserve">The build warns on src/components/ui/tooltip.tsx: a sourcemap resolution failure caused by an inert 'use client' directive, a Next.js directive with no meaning in a Vite SPA. Fifteen files carry it; only tooltip.tsx warns. Harmless, except that a runtime error in that file will report the wrong location. Clean up all fifteen in one commit of its own, not bundled with anything else.</w:t>
      </w:r>
    </w:p>
    <w:p>
      <w:r>
        <w:br w:type="page"/>
      </w:r>
    </w:p>
    <w:p>
      <w:pPr>
        <w:pStyle w:val="Heading1"/>
        <w:spacing w:after="160" w:before="360"/>
      </w:pPr>
      <w:r>
        <w:t xml:space="preserve">Phase G. Still owed after the site is up</w:t>
      </w:r>
    </w:p>
    <w:p>
      <w:pPr>
        <w:spacing w:after="120"/>
      </w:pPr>
      <w:r>
        <w:rPr>
          <w:sz w:val="21"/>
          <w:szCs w:val="21"/>
        </w:rPr>
        <w:t xml:space="preserve">None of this blocks the site. All of it is cheap now and expensive later.</w:t>
      </w:r>
    </w:p>
    <w:p>
      <w:pPr>
        <w:pStyle w:val="Heading2"/>
        <w:spacing w:after="120" w:before="280"/>
      </w:pPr>
      <w:r>
        <w:t xml:space="preserve">G1. Two questions only the operator can answer</w:t>
      </w:r>
    </w:p>
    <w:p>
      <w:pPr>
        <w:spacing w:after="120"/>
      </w:pPr>
      <w:r>
        <w:rPr>
          <w:sz w:val="21"/>
          <w:szCs w:val="21"/>
        </w:rPr>
        <w:t xml:space="preserve">Both are cases where the code carries an assumption in place of an answer, and both label themselves as assumptions in the response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shd w:fill="D9E2F3" w:color="auto" w:val="clear"/>
            <w:tcMar>
              <w:top w:type="dxa" w:w="60"/>
              <w:left w:type="dxa" w:w="100"/>
              <w:bottom w:type="dxa" w:w="60"/>
              <w:right w:type="dxa" w:w="100"/>
            </w:tcMar>
          </w:tcPr>
          <w:p>
            <w:r>
              <w:rPr>
                <w:b/>
                <w:bCs/>
                <w:sz w:val="18"/>
                <w:szCs w:val="18"/>
              </w:rPr>
              <w:t xml:space="preserve">Question</w:t>
            </w:r>
          </w:p>
        </w:tc>
        <w:tc>
          <w:tcPr>
            <w:tcW w:type="dxa" w:w="2900"/>
            <w:shd w:fill="D9E2F3" w:color="auto" w:val="clear"/>
            <w:tcMar>
              <w:top w:type="dxa" w:w="60"/>
              <w:left w:type="dxa" w:w="100"/>
              <w:bottom w:type="dxa" w:w="60"/>
              <w:right w:type="dxa" w:w="100"/>
            </w:tcMar>
          </w:tcPr>
          <w:p>
            <w:r>
              <w:rPr>
                <w:b/>
                <w:bCs/>
                <w:sz w:val="18"/>
                <w:szCs w:val="18"/>
              </w:rPr>
              <w:t xml:space="preserve">Current assumption</w:t>
            </w:r>
          </w:p>
        </w:tc>
        <w:tc>
          <w:tcPr>
            <w:tcW w:type="dxa" w:w="3860"/>
            <w:shd w:fill="D9E2F3" w:color="auto" w:val="clear"/>
            <w:tcMar>
              <w:top w:type="dxa" w:w="60"/>
              <w:left w:type="dxa" w:w="100"/>
              <w:bottom w:type="dxa" w:w="60"/>
              <w:right w:type="dxa" w:w="100"/>
            </w:tcMar>
          </w:tcPr>
          <w:p>
            <w:r>
              <w:rPr>
                <w:b/>
                <w:bCs/>
                <w:sz w:val="18"/>
                <w:szCs w:val="18"/>
              </w:rPr>
              <w:t xml:space="preserve">Cost of waiting</w:t>
            </w:r>
          </w:p>
        </w:tc>
      </w:tr>
      <w:tr>
        <w:tc>
          <w:tcPr>
            <w:tcW w:type="dxa" w:w="2600"/>
            <w:tcMar>
              <w:top w:type="dxa" w:w="60"/>
              <w:left w:type="dxa" w:w="100"/>
              <w:bottom w:type="dxa" w:w="60"/>
              <w:right w:type="dxa" w:w="100"/>
            </w:tcMar>
          </w:tcPr>
          <w:p>
            <w:r>
              <w:rPr>
                <w:b w:val="false"/>
                <w:bCs w:val="false"/>
                <w:sz w:val="18"/>
                <w:szCs w:val="18"/>
              </w:rPr>
              <w:t xml:space="preserve">Do intentional walks count toward the walk market, and does hit by pitch count?</w:t>
            </w:r>
          </w:p>
        </w:tc>
        <w:tc>
          <w:tcPr>
            <w:tcW w:type="dxa" w:w="2900"/>
            <w:tcMar>
              <w:top w:type="dxa" w:w="60"/>
              <w:left w:type="dxa" w:w="100"/>
              <w:bottom w:type="dxa" w:w="60"/>
              <w:right w:type="dxa" w:w="100"/>
            </w:tcMar>
          </w:tcPr>
          <w:p>
            <w:r>
              <w:rPr>
                <w:b w:val="false"/>
                <w:bCs w:val="false"/>
                <w:sz w:val="18"/>
                <w:szCs w:val="18"/>
              </w:rPr>
              <w:t xml:space="preserve">Walks are graded as MLB baseOnBalls: intentional walks included, hit by pitch excluded. WALK_SETTLEMENT_POLICY marks itself assumed.</w:t>
            </w:r>
          </w:p>
        </w:tc>
        <w:tc>
          <w:tcPr>
            <w:tcW w:type="dxa" w:w="3860"/>
            <w:tcMar>
              <w:top w:type="dxa" w:w="60"/>
              <w:left w:type="dxa" w:w="100"/>
              <w:bottom w:type="dxa" w:w="60"/>
              <w:right w:type="dxa" w:w="100"/>
            </w:tcMar>
          </w:tcPr>
          <w:p>
            <w:r>
              <w:rPr>
                <w:b w:val="false"/>
                <w:bCs w:val="false"/>
                <w:sz w:val="18"/>
                <w:szCs w:val="18"/>
              </w:rPr>
              <w:t xml:space="preserve">Every slate that settles adds rows carrying a definition that may not match the one being graded against. Changing it later is two flags plus a re-grade, with no feed re-fetch, because the components are persisted separately. This is the cheapest open item and the only one that gets more expensive with time.</w:t>
            </w:r>
          </w:p>
        </w:tc>
      </w:tr>
      <w:tr>
        <w:tc>
          <w:tcPr>
            <w:tcW w:type="dxa" w:w="2600"/>
            <w:tcMar>
              <w:top w:type="dxa" w:w="60"/>
              <w:left w:type="dxa" w:w="100"/>
              <w:bottom w:type="dxa" w:w="60"/>
              <w:right w:type="dxa" w:w="100"/>
            </w:tcMar>
          </w:tcPr>
          <w:p>
            <w:r>
              <w:rPr>
                <w:b w:val="false"/>
                <w:bCs w:val="false"/>
                <w:sz w:val="18"/>
                <w:szCs w:val="18"/>
              </w:rPr>
              <w:t xml:space="preserve">Do the AI tool-call and chat routes need an approved operator session?</w:t>
            </w:r>
          </w:p>
        </w:tc>
        <w:tc>
          <w:tcPr>
            <w:tcW w:type="dxa" w:w="2900"/>
            <w:tcMar>
              <w:top w:type="dxa" w:w="60"/>
              <w:left w:type="dxa" w:w="100"/>
              <w:bottom w:type="dxa" w:w="60"/>
              <w:right w:type="dxa" w:w="100"/>
            </w:tcMar>
          </w:tcPr>
          <w:p>
            <w:r>
              <w:rPr>
                <w:b w:val="false"/>
                <w:bCs w:val="false"/>
                <w:sz w:val="18"/>
                <w:szCs w:val="18"/>
              </w:rPr>
              <w:t xml:space="preserve">They are reachable without the ai_operator_approval cookie. The gateway itself is read-only, allowlisted and logged.</w:t>
            </w:r>
          </w:p>
        </w:tc>
        <w:tc>
          <w:tcPr>
            <w:tcW w:type="dxa" w:w="3860"/>
            <w:tcMar>
              <w:top w:type="dxa" w:w="60"/>
              <w:left w:type="dxa" w:w="100"/>
              <w:bottom w:type="dxa" w:w="60"/>
              <w:right w:type="dxa" w:w="100"/>
            </w:tcMar>
          </w:tcPr>
          <w:p>
            <w:r>
              <w:rPr>
                <w:b w:val="false"/>
                <w:bCs w:val="false"/>
                <w:sz w:val="18"/>
                <w:szCs w:val="18"/>
              </w:rPr>
              <w:t xml:space="preserve">If the answer is no approval needed, that must become a comment in the code. Its absence currently reads as an oversight rather than a decision.</w:t>
            </w:r>
          </w:p>
        </w:tc>
      </w:tr>
    </w:tbl>
    <w:p>
      <w:pPr>
        <w:pStyle w:val="Heading2"/>
        <w:spacing w:after="120" w:before="280"/>
      </w:pPr>
      <w:r>
        <w:t xml:space="preserve">G2. Measurements owed, capture while a real slate is in front of you</w:t>
      </w:r>
    </w:p>
    <w:p>
      <w:pPr>
        <w:pStyle w:val="ListParagraph"/>
        <w:numPr>
          <w:ilvl w:val="0"/>
          <w:numId w:val="2"/>
        </w:numPr>
        <w:spacing w:after="60"/>
      </w:pPr>
      <w:r>
        <w:rPr>
          <w:sz w:val="21"/>
          <w:szCs w:val="21"/>
        </w:rPr>
        <w:t xml:space="preserve">Task 2.2: games returning a Round Robin pair, before and after the bullpen veto removal. The before number needs a checkout of the parent commit.</w:t>
      </w:r>
    </w:p>
    <w:p>
      <w:pPr>
        <w:pStyle w:val="ListParagraph"/>
        <w:numPr>
          <w:ilvl w:val="0"/>
          <w:numId w:val="2"/>
        </w:numPr>
        <w:spacing w:after="60"/>
      </w:pPr>
      <w:r>
        <w:rPr>
          <w:sz w:val="21"/>
          <w:szCs w:val="21"/>
        </w:rPr>
        <w:t xml:space="preserve">Task 2.6: runTBEngine wall time on a full slate, before and after.</w:t>
      </w:r>
    </w:p>
    <w:p>
      <w:pPr>
        <w:pStyle w:val="ListParagraph"/>
        <w:numPr>
          <w:ilvl w:val="0"/>
          <w:numId w:val="2"/>
        </w:numPr>
        <w:spacing w:after="60"/>
      </w:pPr>
      <w:r>
        <w:rPr>
          <w:sz w:val="21"/>
          <w:szCs w:val="21"/>
        </w:rPr>
        <w:t xml:space="preserve">Tasks 4.1 and 4.2: board rank correlation before and after. Both phases change selection output and both landed together, which is exactly why this is required.</w:t>
      </w:r>
    </w:p>
    <w:p>
      <w:pPr>
        <w:pStyle w:val="ListParagraph"/>
        <w:numPr>
          <w:ilvl w:val="0"/>
          <w:numId w:val="2"/>
        </w:numPr>
        <w:spacing w:after="60"/>
      </w:pPr>
      <w:r>
        <w:rPr>
          <w:sz w:val="21"/>
          <w:szCs w:val="21"/>
        </w:rPr>
        <w:t xml:space="preserve">Task 5.3: query count for a full bullpen refresh, measured not estimated.</w:t>
      </w:r>
    </w:p>
    <w:p>
      <w:pPr>
        <w:pStyle w:val="Heading2"/>
        <w:spacing w:after="120" w:before="280"/>
      </w:pPr>
      <w:r>
        <w:t xml:space="preserve">G3. The audit backlog</w:t>
      </w:r>
    </w:p>
    <w:p>
      <w:pPr>
        <w:spacing w:after="120"/>
      </w:pPr>
      <w:r>
        <w:rPr>
          <w:sz w:val="21"/>
          <w:szCs w:val="21"/>
        </w:rPr>
        <w:t xml:space="preserve">Nineteen items in docs/audit-extension-2026-08-24.md. S1 and S12 landed in PR #2, as did S2 and S3. What remains, in rough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2060"/>
      </w:tblGrid>
      <w:tr>
        <w:trPr>
          <w:tblHeader/>
        </w:trPr>
        <w:tc>
          <w:tcPr>
            <w:tcW w:type="dxa" w:w="900"/>
            <w:shd w:fill="D9E2F3" w:color="auto" w:val="clear"/>
            <w:tcMar>
              <w:top w:type="dxa" w:w="60"/>
              <w:left w:type="dxa" w:w="100"/>
              <w:bottom w:type="dxa" w:w="60"/>
              <w:right w:type="dxa" w:w="100"/>
            </w:tcMar>
          </w:tcPr>
          <w:p>
            <w:r>
              <w:rPr>
                <w:b/>
                <w:bCs/>
                <w:sz w:val="18"/>
                <w:szCs w:val="18"/>
              </w:rPr>
              <w:t xml:space="preserve">#</w:t>
            </w:r>
          </w:p>
        </w:tc>
        <w:tc>
          <w:tcPr>
            <w:tcW w:type="dxa" w:w="6400"/>
            <w:shd w:fill="D9E2F3" w:color="auto" w:val="clear"/>
            <w:tcMar>
              <w:top w:type="dxa" w:w="60"/>
              <w:left w:type="dxa" w:w="100"/>
              <w:bottom w:type="dxa" w:w="60"/>
              <w:right w:type="dxa" w:w="100"/>
            </w:tcMar>
          </w:tcPr>
          <w:p>
            <w:r>
              <w:rPr>
                <w:b/>
                <w:bCs/>
                <w:sz w:val="18"/>
                <w:szCs w:val="18"/>
              </w:rPr>
              <w:t xml:space="preserve">Item</w:t>
            </w:r>
          </w:p>
        </w:tc>
        <w:tc>
          <w:tcPr>
            <w:tcW w:type="dxa" w:w="2060"/>
            <w:shd w:fill="D9E2F3" w:color="auto" w:val="clear"/>
            <w:tcMar>
              <w:top w:type="dxa" w:w="60"/>
              <w:left w:type="dxa" w:w="100"/>
              <w:bottom w:type="dxa" w:w="60"/>
              <w:right w:type="dxa" w:w="100"/>
            </w:tcMar>
          </w:tcPr>
          <w:p>
            <w:r>
              <w:rPr>
                <w:b/>
                <w:bCs/>
                <w:sz w:val="18"/>
                <w:szCs w:val="18"/>
              </w:rPr>
              <w:t xml:space="preserve">Sev</w:t>
            </w:r>
          </w:p>
        </w:tc>
      </w:tr>
      <w:tr>
        <w:tc>
          <w:tcPr>
            <w:tcW w:type="dxa" w:w="900"/>
            <w:tcMar>
              <w:top w:type="dxa" w:w="60"/>
              <w:left w:type="dxa" w:w="100"/>
              <w:bottom w:type="dxa" w:w="60"/>
              <w:right w:type="dxa" w:w="100"/>
            </w:tcMar>
          </w:tcPr>
          <w:p>
            <w:r>
              <w:rPr>
                <w:b w:val="false"/>
                <w:bCs w:val="false"/>
                <w:sz w:val="18"/>
                <w:szCs w:val="18"/>
              </w:rPr>
              <w:t xml:space="preserve">S18</w:t>
            </w:r>
          </w:p>
        </w:tc>
        <w:tc>
          <w:tcPr>
            <w:tcW w:type="dxa" w:w="6400"/>
            <w:tcMar>
              <w:top w:type="dxa" w:w="60"/>
              <w:left w:type="dxa" w:w="100"/>
              <w:bottom w:type="dxa" w:w="60"/>
              <w:right w:type="dxa" w:w="100"/>
            </w:tcMar>
          </w:tcPr>
          <w:p>
            <w:r>
              <w:rPr>
                <w:b w:val="false"/>
                <w:bCs w:val="false"/>
                <w:sz w:val="18"/>
                <w:szCs w:val="18"/>
              </w:rPr>
              <w:t xml:space="preserve">The scheduled slate is single-source FantasyPros with no second source and no conflict detection, one layer above where Task 2.7 put both. FantasyPros-derived games rows carry null venue_id and start_time_utc.</w:t>
            </w:r>
          </w:p>
        </w:tc>
        <w:tc>
          <w:tcPr>
            <w:tcW w:type="dxa" w:w="2060"/>
            <w:tcMar>
              <w:top w:type="dxa" w:w="60"/>
              <w:left w:type="dxa" w:w="100"/>
              <w:bottom w:type="dxa" w:w="60"/>
              <w:right w:type="dxa" w:w="100"/>
            </w:tcMar>
          </w:tcPr>
          <w:p>
            <w:r>
              <w:rPr>
                <w:b w:val="false"/>
                <w:bCs w:val="false"/>
                <w:sz w:val="18"/>
                <w:szCs w:val="18"/>
              </w:rPr>
              <w:t xml:space="preserve">HIGH, re-rate to BLOCKER if Phase C shows material nulls</w:t>
            </w:r>
          </w:p>
        </w:tc>
      </w:tr>
      <w:tr>
        <w:tc>
          <w:tcPr>
            <w:tcW w:type="dxa" w:w="900"/>
            <w:tcMar>
              <w:top w:type="dxa" w:w="60"/>
              <w:left w:type="dxa" w:w="100"/>
              <w:bottom w:type="dxa" w:w="60"/>
              <w:right w:type="dxa" w:w="100"/>
            </w:tcMar>
          </w:tcPr>
          <w:p>
            <w:r>
              <w:rPr>
                <w:b w:val="false"/>
                <w:bCs w:val="false"/>
                <w:sz w:val="18"/>
                <w:szCs w:val="18"/>
              </w:rPr>
              <w:t xml:space="preserve">S4</w:t>
            </w:r>
          </w:p>
        </w:tc>
        <w:tc>
          <w:tcPr>
            <w:tcW w:type="dxa" w:w="6400"/>
            <w:tcMar>
              <w:top w:type="dxa" w:w="60"/>
              <w:left w:type="dxa" w:w="100"/>
              <w:bottom w:type="dxa" w:w="60"/>
              <w:right w:type="dxa" w:w="100"/>
            </w:tcMar>
          </w:tcPr>
          <w:p>
            <w:r>
              <w:rPr>
                <w:b w:val="false"/>
                <w:bCs w:val="false"/>
                <w:sz w:val="18"/>
                <w:szCs w:val="18"/>
              </w:rPr>
              <w:t xml:space="preserve">SELECTION: xbh-engine still excludes park from ranking. Needs its own composite, weighted toward doubles rather than singles.</w:t>
            </w:r>
          </w:p>
        </w:tc>
        <w:tc>
          <w:tcPr>
            <w:tcW w:type="dxa" w:w="2060"/>
            <w:tcMar>
              <w:top w:type="dxa" w:w="60"/>
              <w:left w:type="dxa" w:w="100"/>
              <w:bottom w:type="dxa" w:w="60"/>
              <w:right w:type="dxa" w:w="100"/>
            </w:tcMar>
          </w:tcPr>
          <w:p>
            <w:r>
              <w:rPr>
                <w:b w:val="false"/>
                <w:bCs w:val="false"/>
                <w:sz w:val="18"/>
                <w:szCs w:val="18"/>
              </w:rPr>
              <w:t xml:space="preserve">HIGH</w:t>
            </w:r>
          </w:p>
        </w:tc>
      </w:tr>
      <w:tr>
        <w:tc>
          <w:tcPr>
            <w:tcW w:type="dxa" w:w="900"/>
            <w:tcMar>
              <w:top w:type="dxa" w:w="60"/>
              <w:left w:type="dxa" w:w="100"/>
              <w:bottom w:type="dxa" w:w="60"/>
              <w:right w:type="dxa" w:w="100"/>
            </w:tcMar>
          </w:tcPr>
          <w:p>
            <w:r>
              <w:rPr>
                <w:b w:val="false"/>
                <w:bCs w:val="false"/>
                <w:sz w:val="18"/>
                <w:szCs w:val="18"/>
              </w:rPr>
              <w:t xml:space="preserve">S5</w:t>
            </w:r>
          </w:p>
        </w:tc>
        <w:tc>
          <w:tcPr>
            <w:tcW w:type="dxa" w:w="6400"/>
            <w:tcMar>
              <w:top w:type="dxa" w:w="60"/>
              <w:left w:type="dxa" w:w="100"/>
              <w:bottom w:type="dxa" w:w="60"/>
              <w:right w:type="dxa" w:w="100"/>
            </w:tcMar>
          </w:tcPr>
          <w:p>
            <w:r>
              <w:rPr>
                <w:b w:val="false"/>
                <w:bCs w:val="false"/>
                <w:sz w:val="18"/>
                <w:szCs w:val="18"/>
              </w:rPr>
              <w:t xml:space="preserve">research-foundation has two bare catch blocks and 22 unconditional SUCCESS writes.</w:t>
            </w:r>
          </w:p>
        </w:tc>
        <w:tc>
          <w:tcPr>
            <w:tcW w:type="dxa" w:w="2060"/>
            <w:tcMar>
              <w:top w:type="dxa" w:w="60"/>
              <w:left w:type="dxa" w:w="100"/>
              <w:bottom w:type="dxa" w:w="60"/>
              <w:right w:type="dxa" w:w="100"/>
            </w:tcMar>
          </w:tcPr>
          <w:p>
            <w:r>
              <w:rPr>
                <w:b w:val="false"/>
                <w:bCs w:val="false"/>
                <w:sz w:val="18"/>
                <w:szCs w:val="18"/>
              </w:rPr>
              <w:t xml:space="preserve">HIGH</w:t>
            </w:r>
          </w:p>
        </w:tc>
      </w:tr>
      <w:tr>
        <w:tc>
          <w:tcPr>
            <w:tcW w:type="dxa" w:w="900"/>
            <w:tcMar>
              <w:top w:type="dxa" w:w="60"/>
              <w:left w:type="dxa" w:w="100"/>
              <w:bottom w:type="dxa" w:w="60"/>
              <w:right w:type="dxa" w:w="100"/>
            </w:tcMar>
          </w:tcPr>
          <w:p>
            <w:r>
              <w:rPr>
                <w:b w:val="false"/>
                <w:bCs w:val="false"/>
                <w:sz w:val="18"/>
                <w:szCs w:val="18"/>
              </w:rPr>
              <w:t xml:space="preserve">S6</w:t>
            </w:r>
          </w:p>
        </w:tc>
        <w:tc>
          <w:tcPr>
            <w:tcW w:type="dxa" w:w="6400"/>
            <w:tcMar>
              <w:top w:type="dxa" w:w="60"/>
              <w:left w:type="dxa" w:w="100"/>
              <w:bottom w:type="dxa" w:w="60"/>
              <w:right w:type="dxa" w:w="100"/>
            </w:tcMar>
          </w:tcPr>
          <w:p>
            <w:r>
              <w:rPr>
                <w:b w:val="false"/>
                <w:bCs w:val="false"/>
                <w:sz w:val="18"/>
                <w:szCs w:val="18"/>
              </w:rPr>
              <w:t xml:space="preserve">Decide whether the AI routes need an approved operator session. See G1.</w:t>
            </w:r>
          </w:p>
        </w:tc>
        <w:tc>
          <w:tcPr>
            <w:tcW w:type="dxa" w:w="2060"/>
            <w:tcMar>
              <w:top w:type="dxa" w:w="60"/>
              <w:left w:type="dxa" w:w="100"/>
              <w:bottom w:type="dxa" w:w="60"/>
              <w:right w:type="dxa" w:w="100"/>
            </w:tcMar>
          </w:tcPr>
          <w:p>
            <w:r>
              <w:rPr>
                <w:b w:val="false"/>
                <w:bCs w:val="false"/>
                <w:sz w:val="18"/>
                <w:szCs w:val="18"/>
              </w:rPr>
              <w:t xml:space="preserve">HIGH</w:t>
            </w:r>
          </w:p>
        </w:tc>
      </w:tr>
      <w:tr>
        <w:tc>
          <w:tcPr>
            <w:tcW w:type="dxa" w:w="900"/>
            <w:tcMar>
              <w:top w:type="dxa" w:w="60"/>
              <w:left w:type="dxa" w:w="100"/>
              <w:bottom w:type="dxa" w:w="60"/>
              <w:right w:type="dxa" w:w="100"/>
            </w:tcMar>
          </w:tcPr>
          <w:p>
            <w:r>
              <w:rPr>
                <w:b w:val="false"/>
                <w:bCs w:val="false"/>
                <w:sz w:val="18"/>
                <w:szCs w:val="18"/>
              </w:rPr>
              <w:t xml:space="preserve">S11</w:t>
            </w:r>
          </w:p>
        </w:tc>
        <w:tc>
          <w:tcPr>
            <w:tcW w:type="dxa" w:w="6400"/>
            <w:tcMar>
              <w:top w:type="dxa" w:w="60"/>
              <w:left w:type="dxa" w:w="100"/>
              <w:bottom w:type="dxa" w:w="60"/>
              <w:right w:type="dxa" w:w="100"/>
            </w:tcMar>
          </w:tcPr>
          <w:p>
            <w:r>
              <w:rPr>
                <w:b w:val="false"/>
                <w:bCs w:val="false"/>
                <w:sz w:val="18"/>
                <w:szCs w:val="18"/>
              </w:rPr>
              <w:t xml:space="preserve">feature-store cannot distinguish a metric recorded as NULL from one never collected.</w:t>
            </w:r>
          </w:p>
        </w:tc>
        <w:tc>
          <w:tcPr>
            <w:tcW w:type="dxa" w:w="2060"/>
            <w:tcMar>
              <w:top w:type="dxa" w:w="60"/>
              <w:left w:type="dxa" w:w="100"/>
              <w:bottom w:type="dxa" w:w="60"/>
              <w:right w:type="dxa" w:w="100"/>
            </w:tcMar>
          </w:tcPr>
          <w:p>
            <w:r>
              <w:rPr>
                <w:b w:val="false"/>
                <w:bCs w:val="false"/>
                <w:sz w:val="18"/>
                <w:szCs w:val="18"/>
              </w:rPr>
              <w:t xml:space="preserve">HIGH</w:t>
            </w:r>
          </w:p>
        </w:tc>
      </w:tr>
      <w:tr>
        <w:tc>
          <w:tcPr>
            <w:tcW w:type="dxa" w:w="900"/>
            <w:tcMar>
              <w:top w:type="dxa" w:w="60"/>
              <w:left w:type="dxa" w:w="100"/>
              <w:bottom w:type="dxa" w:w="60"/>
              <w:right w:type="dxa" w:w="100"/>
            </w:tcMar>
          </w:tcPr>
          <w:p>
            <w:r>
              <w:rPr>
                <w:b w:val="false"/>
                <w:bCs w:val="false"/>
                <w:sz w:val="18"/>
                <w:szCs w:val="18"/>
              </w:rPr>
              <w:t xml:space="preserve">S19</w:t>
            </w:r>
          </w:p>
        </w:tc>
        <w:tc>
          <w:tcPr>
            <w:tcW w:type="dxa" w:w="6400"/>
            <w:tcMar>
              <w:top w:type="dxa" w:w="60"/>
              <w:left w:type="dxa" w:w="100"/>
              <w:bottom w:type="dxa" w:w="60"/>
              <w:right w:type="dxa" w:w="100"/>
            </w:tcMar>
          </w:tcPr>
          <w:p>
            <w:r>
              <w:rPr>
                <w:b w:val="false"/>
                <w:bCs w:val="false"/>
                <w:sz w:val="18"/>
                <w:szCs w:val="18"/>
              </w:rPr>
              <w:t xml:space="preserve">With no MLB source consulted for today, a genuine off-day reports as a broken feed rather than an empty slate.</w:t>
            </w:r>
          </w:p>
        </w:tc>
        <w:tc>
          <w:tcPr>
            <w:tcW w:type="dxa" w:w="2060"/>
            <w:tcMar>
              <w:top w:type="dxa" w:w="60"/>
              <w:left w:type="dxa" w:w="100"/>
              <w:bottom w:type="dxa" w:w="60"/>
              <w:right w:type="dxa" w:w="100"/>
            </w:tcMar>
          </w:tcPr>
          <w:p>
            <w:r>
              <w:rPr>
                <w:b w:val="false"/>
                <w:bCs w:val="false"/>
                <w:sz w:val="18"/>
                <w:szCs w:val="18"/>
              </w:rPr>
              <w:t xml:space="preserve">MEDIUM</w:t>
            </w:r>
          </w:p>
        </w:tc>
      </w:tr>
      <w:tr>
        <w:tc>
          <w:tcPr>
            <w:tcW w:type="dxa" w:w="900"/>
            <w:tcMar>
              <w:top w:type="dxa" w:w="60"/>
              <w:left w:type="dxa" w:w="100"/>
              <w:bottom w:type="dxa" w:w="60"/>
              <w:right w:type="dxa" w:w="100"/>
            </w:tcMar>
          </w:tcPr>
          <w:p>
            <w:r>
              <w:rPr>
                <w:b w:val="false"/>
                <w:bCs w:val="false"/>
                <w:sz w:val="18"/>
                <w:szCs w:val="18"/>
              </w:rPr>
              <w:t xml:space="preserve">S7, S8, S9, S10, S13</w:t>
            </w:r>
          </w:p>
        </w:tc>
        <w:tc>
          <w:tcPr>
            <w:tcW w:type="dxa" w:w="6400"/>
            <w:tcMar>
              <w:top w:type="dxa" w:w="60"/>
              <w:left w:type="dxa" w:w="100"/>
              <w:bottom w:type="dxa" w:w="60"/>
              <w:right w:type="dxa" w:w="100"/>
            </w:tcMar>
          </w:tcPr>
          <w:p>
            <w:r>
              <w:rPr>
                <w:b w:val="false"/>
                <w:bCs w:val="false"/>
                <w:sz w:val="18"/>
                <w:szCs w:val="18"/>
              </w:rPr>
              <w:t xml:space="preserve">Split-versus-unsplit divergence in hr and walk engines; hr park uses the raw unsplit factor; expected plate appearances in three engines; N plus one batching; snapshot identity versus provenance.</w:t>
            </w:r>
          </w:p>
        </w:tc>
        <w:tc>
          <w:tcPr>
            <w:tcW w:type="dxa" w:w="2060"/>
            <w:tcMar>
              <w:top w:type="dxa" w:w="60"/>
              <w:left w:type="dxa" w:w="100"/>
              <w:bottom w:type="dxa" w:w="60"/>
              <w:right w:type="dxa" w:w="100"/>
            </w:tcMar>
          </w:tcPr>
          <w:p>
            <w:r>
              <w:rPr>
                <w:b w:val="false"/>
                <w:bCs w:val="false"/>
                <w:sz w:val="18"/>
                <w:szCs w:val="18"/>
              </w:rPr>
              <w:t xml:space="preserve">MEDIUM</w:t>
            </w:r>
          </w:p>
        </w:tc>
      </w:tr>
      <w:tr>
        <w:tc>
          <w:tcPr>
            <w:tcW w:type="dxa" w:w="900"/>
            <w:tcMar>
              <w:top w:type="dxa" w:w="60"/>
              <w:left w:type="dxa" w:w="100"/>
              <w:bottom w:type="dxa" w:w="60"/>
              <w:right w:type="dxa" w:w="100"/>
            </w:tcMar>
          </w:tcPr>
          <w:p>
            <w:r>
              <w:rPr>
                <w:b w:val="false"/>
                <w:bCs w:val="false"/>
                <w:sz w:val="18"/>
                <w:szCs w:val="18"/>
              </w:rPr>
              <w:t xml:space="preserve">S14</w:t>
            </w:r>
          </w:p>
        </w:tc>
        <w:tc>
          <w:tcPr>
            <w:tcW w:type="dxa" w:w="6400"/>
            <w:tcMar>
              <w:top w:type="dxa" w:w="60"/>
              <w:left w:type="dxa" w:w="100"/>
              <w:bottom w:type="dxa" w:w="60"/>
              <w:right w:type="dxa" w:w="100"/>
            </w:tcMar>
          </w:tcPr>
          <w:p>
            <w:r>
              <w:rPr>
                <w:b w:val="false"/>
                <w:bCs w:val="false"/>
                <w:sz w:val="18"/>
                <w:szCs w:val="18"/>
              </w:rPr>
              <w:t xml:space="preserve">Split App.tsx. Covered by Phase F1 above.</w:t>
            </w:r>
          </w:p>
        </w:tc>
        <w:tc>
          <w:tcPr>
            <w:tcW w:type="dxa" w:w="2060"/>
            <w:tcMar>
              <w:top w:type="dxa" w:w="60"/>
              <w:left w:type="dxa" w:w="100"/>
              <w:bottom w:type="dxa" w:w="60"/>
              <w:right w:type="dxa" w:w="100"/>
            </w:tcMar>
          </w:tcPr>
          <w:p>
            <w:r>
              <w:rPr>
                <w:b w:val="false"/>
                <w:bCs w:val="false"/>
                <w:sz w:val="18"/>
                <w:szCs w:val="18"/>
              </w:rPr>
              <w:t xml:space="preserve">MEDIUM</w:t>
            </w:r>
          </w:p>
        </w:tc>
      </w:tr>
      <w:tr>
        <w:tc>
          <w:tcPr>
            <w:tcW w:type="dxa" w:w="900"/>
            <w:tcMar>
              <w:top w:type="dxa" w:w="60"/>
              <w:left w:type="dxa" w:w="100"/>
              <w:bottom w:type="dxa" w:w="60"/>
              <w:right w:type="dxa" w:w="100"/>
            </w:tcMar>
          </w:tcPr>
          <w:p>
            <w:r>
              <w:rPr>
                <w:b w:val="false"/>
                <w:bCs w:val="false"/>
                <w:sz w:val="18"/>
                <w:szCs w:val="18"/>
              </w:rPr>
              <w:t xml:space="preserve">S15, S16, S17</w:t>
            </w:r>
          </w:p>
        </w:tc>
        <w:tc>
          <w:tcPr>
            <w:tcW w:type="dxa" w:w="6400"/>
            <w:tcMar>
              <w:top w:type="dxa" w:w="60"/>
              <w:left w:type="dxa" w:w="100"/>
              <w:bottom w:type="dxa" w:w="60"/>
              <w:right w:type="dxa" w:w="100"/>
            </w:tcMar>
          </w:tcPr>
          <w:p>
            <w:r>
              <w:rPr>
                <w:b w:val="false"/>
                <w:bCs w:val="false"/>
                <w:sz w:val="18"/>
                <w:szCs w:val="18"/>
              </w:rPr>
              <w:t xml:space="preserve">assertNoBettingData at the export boundary; cache eviction cost and per-process scope; audit event filters and derived BvP coverage status.</w:t>
            </w:r>
          </w:p>
        </w:tc>
        <w:tc>
          <w:tcPr>
            <w:tcW w:type="dxa" w:w="2060"/>
            <w:tcMar>
              <w:top w:type="dxa" w:w="60"/>
              <w:left w:type="dxa" w:w="100"/>
              <w:bottom w:type="dxa" w:w="60"/>
              <w:right w:type="dxa" w:w="100"/>
            </w:tcMar>
          </w:tcPr>
          <w:p>
            <w:r>
              <w:rPr>
                <w:b w:val="false"/>
                <w:bCs w:val="false"/>
                <w:sz w:val="18"/>
                <w:szCs w:val="18"/>
              </w:rPr>
              <w:t xml:space="preserve">LOW</w:t>
            </w:r>
          </w:p>
        </w:tc>
      </w:tr>
    </w:tbl>
    <w:p>
      <w:r>
        <w:br w:type="page"/>
      </w:r>
    </w:p>
    <w:p>
      <w:pPr>
        <w:pStyle w:val="Heading1"/>
        <w:spacing w:after="160" w:before="360"/>
      </w:pPr>
      <w:r>
        <w:t xml:space="preserve">Standing rules</w:t>
      </w:r>
    </w:p>
    <w:p>
      <w:pPr>
        <w:spacing w:after="120"/>
      </w:pPr>
      <w:r>
        <w:rPr>
          <w:sz w:val="21"/>
          <w:szCs w:val="21"/>
        </w:rPr>
        <w:t xml:space="preserve">These are contracts, not preferences. They apply to every phase above and to anything that comes after.</w:t>
      </w:r>
    </w:p>
    <w:p>
      <w:pPr>
        <w:pStyle w:val="ListParagraph"/>
        <w:numPr>
          <w:ilvl w:val="0"/>
          <w:numId w:val="2"/>
        </w:numPr>
        <w:spacing w:after="60"/>
      </w:pPr>
      <w:r>
        <w:rPr>
          <w:sz w:val="21"/>
          <w:szCs w:val="21"/>
        </w:rPr>
        <w:t xml:space="preserve">Do not run drizzle-kit push directly. Use the package script, which runs pre-push migrations, then push, then the immutability policy, in that order.</w:t>
      </w:r>
    </w:p>
    <w:p>
      <w:pPr>
        <w:pStyle w:val="ListParagraph"/>
        <w:numPr>
          <w:ilvl w:val="0"/>
          <w:numId w:val="2"/>
        </w:numPr>
        <w:spacing w:after="60"/>
      </w:pPr>
      <w:r>
        <w:rPr>
          <w:sz w:val="21"/>
          <w:szCs w:val="21"/>
        </w:rPr>
        <w:t xml:space="preserve">Do not use push --force. If drizzle prompts, the answer is explicit DDL in lib/db/scripts/pre-push-migrations.mjs, which is the file replit.md designates for migrations push cannot express.</w:t>
      </w:r>
    </w:p>
    <w:p>
      <w:pPr>
        <w:pStyle w:val="ListParagraph"/>
        <w:numPr>
          <w:ilvl w:val="0"/>
          <w:numId w:val="2"/>
        </w:numPr>
        <w:spacing w:after="60"/>
      </w:pPr>
      <w:r>
        <w:rPr>
          <w:sz w:val="21"/>
          <w:szCs w:val="21"/>
        </w:rPr>
        <w:t xml:space="preserve">Do not trust the exit code of drizzle-kit push. It exits 0 when it dies on a TTY prompt, so set -e cannot catch it. The hook matches the log text explicitly for this reason.</w:t>
      </w:r>
    </w:p>
    <w:p>
      <w:pPr>
        <w:pStyle w:val="ListParagraph"/>
        <w:numPr>
          <w:ilvl w:val="0"/>
          <w:numId w:val="2"/>
        </w:numPr>
        <w:spacing w:after="60"/>
      </w:pPr>
      <w:r>
        <w:rPr>
          <w:sz w:val="21"/>
          <w:szCs w:val="21"/>
        </w:rPr>
        <w:t xml:space="preserve">Nothing writes status = ACTIVE except promoteModelVersion. A test asserts it appears in exactly one production file and that orchestration never references it.</w:t>
      </w:r>
    </w:p>
    <w:p>
      <w:pPr>
        <w:pStyle w:val="ListParagraph"/>
        <w:numPr>
          <w:ilvl w:val="0"/>
          <w:numId w:val="2"/>
        </w:numPr>
        <w:spacing w:after="60"/>
      </w:pPr>
      <w:r>
        <w:rPr>
          <w:sz w:val="21"/>
          <w:szCs w:val="21"/>
        </w:rPr>
        <w:t xml:space="preserve">Do not put disclosures in missing_stale_evidence. Anything written there makes a candidate non-selectable. That field is a blocking gate, and it is how the bullpen veto survived Task 2.2 through a back door.</w:t>
      </w:r>
    </w:p>
    <w:p>
      <w:pPr>
        <w:pStyle w:val="ListParagraph"/>
        <w:numPr>
          <w:ilvl w:val="0"/>
          <w:numId w:val="2"/>
        </w:numPr>
        <w:spacing w:after="60"/>
      </w:pPr>
      <w:r>
        <w:rPr>
          <w:sz w:val="21"/>
          <w:szCs w:val="21"/>
        </w:rPr>
        <w:t xml:space="preserve">Do not add a cosmetic tiebreak to compareConstruction. It would make the cross-side VALID_TIE unreachable and silently delete the surfaced-ties contract.</w:t>
      </w:r>
    </w:p>
    <w:p>
      <w:pPr>
        <w:pStyle w:val="ListParagraph"/>
        <w:numPr>
          <w:ilvl w:val="0"/>
          <w:numId w:val="2"/>
        </w:numPr>
        <w:spacing w:after="60"/>
      </w:pPr>
      <w:r>
        <w:rPr>
          <w:sz w:val="21"/>
          <w:szCs w:val="21"/>
        </w:rPr>
        <w:t xml:space="preserve">RANK, DON'T GATE. A missing or stale third-order input is a disclosure on the surfaced row, not a veto that deletes it.</w:t>
      </w:r>
    </w:p>
    <w:p>
      <w:pPr>
        <w:pStyle w:val="ListParagraph"/>
        <w:numPr>
          <w:ilvl w:val="0"/>
          <w:numId w:val="2"/>
        </w:numPr>
        <w:spacing w:after="60"/>
      </w:pPr>
      <w:r>
        <w:rPr>
          <w:sz w:val="21"/>
          <w:szCs w:val="21"/>
        </w:rPr>
        <w:t xml:space="preserve">Contract-first for any API change: schema, then openapi.yaml, then codegen, then wire the routes, then typecheck both packages. In that order.</w:t>
      </w:r>
    </w:p>
    <w:p>
      <w:pPr>
        <w:pStyle w:val="ListParagraph"/>
        <w:numPr>
          <w:ilvl w:val="0"/>
          <w:numId w:val="2"/>
        </w:numPr>
        <w:spacing w:after="60"/>
      </w:pPr>
      <w:r>
        <w:rPr>
          <w:sz w:val="21"/>
          <w:szCs w:val="21"/>
        </w:rPr>
        <w:t xml:space="preserve">No odds, prices, payouts, expected value, implied probability, closing line value, vig, stake sizing or bankroll management, anywhere in any code path. Pricing is handled outside this system by the operator at the book.</w:t>
      </w:r>
    </w:p>
    <w:p>
      <w:pPr>
        <w:pStyle w:val="ListParagraph"/>
        <w:numPr>
          <w:ilvl w:val="0"/>
          <w:numId w:val="2"/>
        </w:numPr>
        <w:spacing w:after="60"/>
      </w:pPr>
      <w:r>
        <w:rPr>
          <w:sz w:val="21"/>
          <w:szCs w:val="21"/>
        </w:rPr>
        <w:t xml:space="preserve">No em dashes or en dashes in user-facing output. Dates are YYYY-MM-DD in America/New_York.</w:t>
      </w:r>
    </w:p>
    <w:p>
      <w:pPr>
        <w:pStyle w:val="Heading2"/>
        <w:spacing w:after="120" w:before="280"/>
      </w:pPr>
      <w:r>
        <w:t xml:space="preserve">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9E2F3" w:color="auto" w:val="clear"/>
            <w:tcMar>
              <w:top w:type="dxa" w:w="60"/>
              <w:left w:type="dxa" w:w="100"/>
              <w:bottom w:type="dxa" w:w="60"/>
              <w:right w:type="dxa" w:w="100"/>
            </w:tcMar>
          </w:tcPr>
          <w:p>
            <w:r>
              <w:rPr>
                <w:b/>
                <w:bCs/>
                <w:sz w:val="18"/>
                <w:szCs w:val="18"/>
              </w:rPr>
              <w:t xml:space="preserve">Command</w:t>
            </w:r>
          </w:p>
        </w:tc>
        <w:tc>
          <w:tcPr>
            <w:tcW w:type="dxa" w:w="5960"/>
            <w:shd w:fill="D9E2F3" w:color="auto" w:val="clear"/>
            <w:tcMar>
              <w:top w:type="dxa" w:w="60"/>
              <w:left w:type="dxa" w:w="100"/>
              <w:bottom w:type="dxa" w:w="60"/>
              <w:right w:type="dxa" w:w="100"/>
            </w:tcMar>
          </w:tcPr>
          <w:p>
            <w:r>
              <w:rPr>
                <w:b/>
                <w:bCs/>
                <w:sz w:val="18"/>
                <w:szCs w:val="18"/>
              </w:rPr>
              <w:t xml:space="preserve">Expect</w:t>
            </w:r>
          </w:p>
        </w:tc>
      </w:tr>
      <w:tr>
        <w:tc>
          <w:tcPr>
            <w:tcW w:type="dxa" w:w="3400"/>
            <w:tcMar>
              <w:top w:type="dxa" w:w="60"/>
              <w:left w:type="dxa" w:w="100"/>
              <w:bottom w:type="dxa" w:w="60"/>
              <w:right w:type="dxa" w:w="100"/>
            </w:tcMar>
          </w:tcPr>
          <w:p>
            <w:r>
              <w:rPr>
                <w:b w:val="false"/>
                <w:bCs w:val="false"/>
                <w:sz w:val="18"/>
                <w:szCs w:val="18"/>
              </w:rPr>
              <w:t xml:space="preserve">pnpm run test:unit</w:t>
            </w:r>
          </w:p>
        </w:tc>
        <w:tc>
          <w:tcPr>
            <w:tcW w:type="dxa" w:w="5960"/>
            <w:tcMar>
              <w:top w:type="dxa" w:w="60"/>
              <w:left w:type="dxa" w:w="100"/>
              <w:bottom w:type="dxa" w:w="60"/>
              <w:right w:type="dxa" w:w="100"/>
            </w:tcMar>
          </w:tcPr>
          <w:p>
            <w:r>
              <w:rPr>
                <w:b w:val="false"/>
                <w:bCs w:val="false"/>
                <w:sz w:val="18"/>
                <w:szCs w:val="18"/>
              </w:rPr>
              <w:t xml:space="preserve">197 tests, 0 failures. No database and no server needed. Run before every commit.</w:t>
            </w:r>
          </w:p>
        </w:tc>
      </w:tr>
      <w:tr>
        <w:tc>
          <w:tcPr>
            <w:tcW w:type="dxa" w:w="3400"/>
            <w:tcMar>
              <w:top w:type="dxa" w:w="60"/>
              <w:left w:type="dxa" w:w="100"/>
              <w:bottom w:type="dxa" w:w="60"/>
              <w:right w:type="dxa" w:w="100"/>
            </w:tcMar>
          </w:tcPr>
          <w:p>
            <w:r>
              <w:rPr>
                <w:b w:val="false"/>
                <w:bCs w:val="false"/>
                <w:sz w:val="18"/>
                <w:szCs w:val="18"/>
              </w:rPr>
              <w:t xml:space="preserve">pnpm run typecheck</w:t>
            </w:r>
          </w:p>
        </w:tc>
        <w:tc>
          <w:tcPr>
            <w:tcW w:type="dxa" w:w="5960"/>
            <w:tcMar>
              <w:top w:type="dxa" w:w="60"/>
              <w:left w:type="dxa" w:w="100"/>
              <w:bottom w:type="dxa" w:w="60"/>
              <w:right w:type="dxa" w:w="100"/>
            </w:tcMar>
          </w:tcPr>
          <w:p>
            <w:r>
              <w:rPr>
                <w:b w:val="false"/>
                <w:bCs w:val="false"/>
                <w:sz w:val="18"/>
                <w:szCs w:val="18"/>
              </w:rPr>
              <w:t xml:space="preserve">Clean, all projects.</w:t>
            </w:r>
          </w:p>
        </w:tc>
      </w:tr>
      <w:tr>
        <w:tc>
          <w:tcPr>
            <w:tcW w:type="dxa" w:w="3400"/>
            <w:tcMar>
              <w:top w:type="dxa" w:w="60"/>
              <w:left w:type="dxa" w:w="100"/>
              <w:bottom w:type="dxa" w:w="60"/>
              <w:right w:type="dxa" w:w="100"/>
            </w:tcMar>
          </w:tcPr>
          <w:p>
            <w:r>
              <w:rPr>
                <w:b w:val="false"/>
                <w:bCs w:val="false"/>
                <w:sz w:val="18"/>
                <w:szCs w:val="18"/>
              </w:rPr>
              <w:t xml:space="preserve">pnpm run build</w:t>
            </w:r>
          </w:p>
        </w:tc>
        <w:tc>
          <w:tcPr>
            <w:tcW w:type="dxa" w:w="5960"/>
            <w:tcMar>
              <w:top w:type="dxa" w:w="60"/>
              <w:left w:type="dxa" w:w="100"/>
              <w:bottom w:type="dxa" w:w="60"/>
              <w:right w:type="dxa" w:w="100"/>
            </w:tcMar>
          </w:tcPr>
          <w:p>
            <w:r>
              <w:rPr>
                <w:b w:val="false"/>
                <w:bCs w:val="false"/>
                <w:sz w:val="18"/>
                <w:szCs w:val="18"/>
              </w:rPr>
              <w:t xml:space="preserve">Clean. Two known warnings, both covered in Phase F.</w:t>
            </w:r>
          </w:p>
        </w:tc>
      </w:tr>
      <w:tr>
        <w:tc>
          <w:tcPr>
            <w:tcW w:type="dxa" w:w="3400"/>
            <w:tcMar>
              <w:top w:type="dxa" w:w="60"/>
              <w:left w:type="dxa" w:w="100"/>
              <w:bottom w:type="dxa" w:w="60"/>
              <w:right w:type="dxa" w:w="100"/>
            </w:tcMar>
          </w:tcPr>
          <w:p>
            <w:r>
              <w:rPr>
                <w:b w:val="false"/>
                <w:bCs w:val="false"/>
                <w:sz w:val="18"/>
                <w:szCs w:val="18"/>
              </w:rPr>
              <w:t xml:space="preserve">pnpm run test:all</w:t>
            </w:r>
          </w:p>
        </w:tc>
        <w:tc>
          <w:tcPr>
            <w:tcW w:type="dxa" w:w="5960"/>
            <w:tcMar>
              <w:top w:type="dxa" w:w="60"/>
              <w:left w:type="dxa" w:w="100"/>
              <w:bottom w:type="dxa" w:w="60"/>
              <w:right w:type="dxa" w:w="100"/>
            </w:tcMar>
          </w:tcPr>
          <w:p>
            <w:r>
              <w:rPr>
                <w:b w:val="false"/>
                <w:bCs w:val="false"/>
                <w:sz w:val="18"/>
                <w:szCs w:val="18"/>
              </w:rPr>
              <w:t xml:space="preserve">Full acceptance suite. Needs DATABASE_URL and a running server.</w:t>
            </w:r>
          </w:p>
        </w:tc>
      </w:tr>
      <w:tr>
        <w:tc>
          <w:tcPr>
            <w:tcW w:type="dxa" w:w="3400"/>
            <w:tcMar>
              <w:top w:type="dxa" w:w="60"/>
              <w:left w:type="dxa" w:w="100"/>
              <w:bottom w:type="dxa" w:w="60"/>
              <w:right w:type="dxa" w:w="100"/>
            </w:tcMar>
          </w:tcPr>
          <w:p>
            <w:r>
              <w:rPr>
                <w:b w:val="false"/>
                <w:bCs w:val="false"/>
                <w:sz w:val="18"/>
                <w:szCs w:val="18"/>
              </w:rPr>
              <w:t xml:space="preserve">bash scripts/post-merge.sh</w:t>
            </w:r>
          </w:p>
        </w:tc>
        <w:tc>
          <w:tcPr>
            <w:tcW w:type="dxa" w:w="5960"/>
            <w:tcMar>
              <w:top w:type="dxa" w:w="60"/>
              <w:left w:type="dxa" w:w="100"/>
              <w:bottom w:type="dxa" w:w="60"/>
              <w:right w:type="dxa" w:w="100"/>
            </w:tcMar>
          </w:tcPr>
          <w:p>
            <w:r>
              <w:rPr>
                <w:b w:val="false"/>
                <w:bCs w:val="false"/>
                <w:sz w:val="18"/>
                <w:szCs w:val="18"/>
              </w:rPr>
              <w:t xml:space="preserve">exit 0, 121 OK 0 failed, idempotent on a second run.</w:t>
            </w:r>
          </w:p>
        </w:tc>
      </w:tr>
    </w:tbl>
    <w:p>
      <w:pPr>
        <w:pBdr>
          <w:bottom w:val="single" w:color="BBBBBB" w:sz="6"/>
        </w:pBdr>
        <w:spacing w:after="200" w:before="100"/>
      </w:pPr>
    </w:p>
    <w:p>
      <w:pPr>
        <w:spacing w:after="120"/>
      </w:pPr>
      <w:r>
        <w:rPr>
          <w:i/>
          <w:iCs/>
          <w:color w:val="555555"/>
          <w:sz w:val="18"/>
          <w:szCs w:val="18"/>
        </w:rPr>
        <w:t xml:space="preserve">Sources: the remediation plan of 2026-08-24 and its 27 tasks, PR #1 and PR #2, docs/audit-extension-2026-08-24.md, replit.md, and live runtime, database and git checks of the repl on 2026-08-24.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80"/>
    </w:pPr>
    <w:rPr>
      <w:rFonts w:ascii="Calibri" w:cs="Calibri" w:eastAsia="Calibri" w:hAnsi="Calibri"/>
      <w:b/>
      <w:bCs/>
      <w:color w:val="2E74B5"/>
      <w:sz w:val="26"/>
      <w:szCs w:val="26"/>
    </w:rPr>
  </w:style>
  <w:style w:type="paragraph" w:styleId="Heading3">
    <w:name w:val="Heading 3"/>
    <w:basedOn w:val="Normal"/>
    <w:next w:val="Normal"/>
    <w:qFormat/>
    <w:pPr>
      <w:spacing w:after="100" w:before="24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2026-08-24T23:36:59.387Z</dcterms:created>
  <dcterms:modified xsi:type="dcterms:W3CDTF">2026-08-24T23:36:59.400Z</dcterms:modified>
</cp:coreProperties>
</file>

<file path=docProps/custom.xml><?xml version="1.0" encoding="utf-8"?>
<Properties xmlns="http://schemas.openxmlformats.org/officeDocument/2006/custom-properties" xmlns:vt="http://schemas.openxmlformats.org/officeDocument/2006/docPropsVTypes"/>
</file>