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0"/>
          <w:szCs w:val="40"/>
        </w:rPr>
        <w:t xml:space="preserve">MLB Analyst Platform</w:t>
      </w:r>
    </w:p>
    <w:p>
      <w:pPr>
        <w:pBdr>
          <w:bottom w:val="single" w:color="1A1A1A" w:sz="12" w:space="10"/>
        </w:pBdr>
        <w:spacing w:after="200"/>
      </w:pPr>
      <w:r>
        <w:rPr>
          <w:color w:val="5A5A5A"/>
          <w:sz w:val="30"/>
          <w:szCs w:val="30"/>
        </w:rPr>
        <w:t xml:space="preserve">Next session work plan</w:t>
      </w:r>
    </w:p>
    <w:p>
      <w:pPr>
        <w:spacing w:after="260" w:line="264"/>
      </w:pPr>
      <w:r>
        <w:rPr>
          <w:color w:val="5A5A5A"/>
          <w:sz w:val="19"/>
          <w:szCs w:val="19"/>
        </w:rPr>
        <w:t xml:space="preserve">Prepared 2026-08-24</w:t>
      </w:r>
      <w:r>
        <w:rPr>
          <w:color w:val="C8C8C8"/>
          <w:sz w:val="19"/>
          <w:szCs w:val="19"/>
        </w:rPr>
        <w:t xml:space="preserve">  |  </w:t>
      </w:r>
      <w:r>
        <w:rPr>
          <w:color w:val="5A5A5A"/>
          <w:sz w:val="19"/>
          <w:szCs w:val="19"/>
        </w:rPr>
        <w:t xml:space="preserve">PR #1 merged, 12 commits, 78 files</w:t>
      </w:r>
      <w:r>
        <w:rPr>
          <w:color w:val="C8C8C8"/>
          <w:sz w:val="19"/>
          <w:szCs w:val="19"/>
        </w:rPr>
        <w:t xml:space="preserve">  |  </w:t>
      </w:r>
      <w:r>
        <w:rPr>
          <w:color w:val="5A5A5A"/>
          <w:sz w:val="19"/>
          <w:szCs w:val="19"/>
        </w:rPr>
        <w:t xml:space="preserve">27 of 27 plan tasks complete</w:t>
      </w:r>
    </w:p>
    <w:p>
      <w:pPr>
        <w:pStyle w:val="Heading1"/>
        <w:pBdr>
          <w:bottom w:val="single" w:color="C8C8C8" w:sz="6" w:space="6"/>
        </w:pBdr>
        <w:spacing w:after="140" w:before="340"/>
      </w:pPr>
      <w:r>
        <w:rPr>
          <w:b/>
          <w:bCs/>
          <w:color w:val="1A1A1A"/>
          <w:sz w:val="28"/>
          <w:szCs w:val="28"/>
        </w:rPr>
        <w:t xml:space="preserve">0. Read this first</w:t>
      </w:r>
    </w:p>
    <w:p>
      <w:pPr>
        <w:spacing w:after="120" w:line="264"/>
      </w:pPr>
      <w:r>
        <w:rPr>
          <w:color w:val="1A1A1A"/>
          <w:sz w:val="21"/>
          <w:szCs w:val="21"/>
        </w:rPr>
        <w:t xml:space="preserve">Every task in the remediation plan is written, tested, merged and on main. That is not the same as a working system, and the difference is the whole point of this document.</w:t>
      </w:r>
    </w:p>
    <w:p>
      <w:pPr>
        <w:spacing w:after="120" w:line="264"/>
      </w:pPr>
      <w:r>
        <w:rPr>
          <w:color w:val="1A1A1A"/>
          <w:sz w:val="21"/>
          <w:szCs w:val="21"/>
        </w:rPr>
        <w:t xml:space="preserve">The code that produces calibrated probabilities is now correct. It has never run against the database, because the migrations it needs have not been applied and no model has been retrained under the new fitter. Until Section 1 is done, the board still emits RESEARCH_ONLY for every row, exactly as it did before the remediation started. The cause is different now, and it is a two-hour cause rather than a structural one, but the observable state is the same.</w:t>
      </w:r>
    </w:p>
    <w:p>
      <w:pPr>
        <w:spacing w:after="120" w:line="264"/>
      </w:pPr>
      <w:r>
        <w:rPr>
          <w:color w:val="1A1A1A"/>
          <w:sz w:val="21"/>
          <w:szCs w:val="21"/>
        </w:rPr>
        <w:t xml:space="preserve">Three things gate the next session, in this order: apply the migrations and retrain, answer two questions only the operator can answer, then start on the audit backlog.</w:t>
      </w:r>
    </w:p>
    <w:p>
      <w:pPr>
        <w:pStyle w:val="Heading1"/>
        <w:pBdr>
          <w:bottom w:val="single" w:color="C8C8C8" w:sz="6" w:space="6"/>
        </w:pBdr>
        <w:spacing w:after="140" w:before="340"/>
      </w:pPr>
      <w:r>
        <w:rPr>
          <w:b/>
          <w:bCs/>
          <w:color w:val="1A1A1A"/>
          <w:sz w:val="28"/>
          <w:szCs w:val="28"/>
        </w:rPr>
        <w:t xml:space="preserve">1. Do this first: bring the database and the models up to the merged code</w:t>
      </w:r>
    </w:p>
    <w:p>
      <w:pPr>
        <w:spacing w:after="120" w:line="264"/>
      </w:pPr>
      <w:r>
        <w:rPr>
          <w:color w:val="1A1A1A"/>
          <w:sz w:val="21"/>
          <w:szCs w:val="21"/>
        </w:rPr>
        <w:t xml:space="preserve">None of this is optional and none of it is reversible by itself, so read the whole section before running the first command. Take a database backup first.</w:t>
      </w:r>
    </w:p>
    <w:p>
      <w:pPr>
        <w:pStyle w:val="Heading2"/>
        <w:spacing w:after="100" w:before="240"/>
      </w:pPr>
      <w:r>
        <w:rPr>
          <w:b/>
          <w:bCs/>
          <w:color w:val="1A1A1A"/>
          <w:sz w:val="23"/>
          <w:szCs w:val="23"/>
        </w:rPr>
        <w:t xml:space="preserve">1.1  Apply the schema migrations</w:t>
      </w:r>
    </w:p>
    <w:p>
      <w:pPr>
        <w:spacing w:after="80" w:line="264"/>
      </w:pPr>
      <w:r>
        <w:rPr>
          <w:rFonts w:ascii="Consolas" w:cs="Consolas" w:eastAsia="Consolas" w:hAnsi="Consolas"/>
          <w:b/>
          <w:bCs/>
          <w:color w:val="1A1A1A"/>
          <w:sz w:val="21"/>
          <w:szCs w:val="21"/>
        </w:rPr>
        <w:t xml:space="preserve">pnpm --filter @workspace/db run push</w:t>
      </w:r>
    </w:p>
    <w:p>
      <w:pPr>
        <w:spacing w:after="120" w:line="264"/>
      </w:pPr>
      <w:r>
        <w:rPr>
          <w:color w:val="5A5A5A"/>
          <w:sz w:val="19"/>
          <w:szCs w:val="19"/>
        </w:rPr>
        <w:t xml:space="preserve">Not drizzle-kit push on its own. The package script now runs three things in order: the pre-push migrations, then the schema push, then the immutability policy. Skipping it leaves the enum splits unapplied and the new triggers and indexes missing.</w:t>
      </w:r>
    </w:p>
    <w:p>
      <w:pPr>
        <w:spacing w:after="120" w:line="264"/>
      </w:pPr>
      <w:r>
        <w:rPr>
          <w:color w:val="1A1A1A"/>
          <w:sz w:val="21"/>
          <w:szCs w:val="21"/>
        </w:rPr>
        <w:t xml:space="preserve">What it changes:</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2100"/>
        <w:gridCol w:w="4400"/>
        <w:gridCol w:w="2860"/>
      </w:tblGrid>
      <w:tr>
        <w:trPr>
          <w:tblHeader/>
        </w:trPr>
        <w:tc>
          <w:tcPr>
            <w:tcW w:type="dxa" w:w="2100"/>
            <w:shd w:fill="EDEDED" w:color="auto" w:val="clear"/>
            <w:tcMar>
              <w:top w:type="dxa" w:w="90"/>
              <w:left w:type="dxa" w:w="130"/>
              <w:bottom w:type="dxa" w:w="90"/>
              <w:right w:type="dxa" w:w="130"/>
            </w:tcMar>
          </w:tcPr>
          <w:p>
            <w:pPr>
              <w:spacing w:after="0" w:line="250"/>
            </w:pPr>
            <w:r>
              <w:rPr>
                <w:b/>
                <w:bCs/>
                <w:color w:val="1A1A1A"/>
                <w:sz w:val="19"/>
                <w:szCs w:val="19"/>
              </w:rPr>
              <w:t xml:space="preserve">Object</w:t>
            </w:r>
          </w:p>
        </w:tc>
        <w:tc>
          <w:tcPr>
            <w:tcW w:type="dxa" w:w="4400"/>
            <w:shd w:fill="EDEDED" w:color="auto" w:val="clear"/>
            <w:tcMar>
              <w:top w:type="dxa" w:w="90"/>
              <w:left w:type="dxa" w:w="130"/>
              <w:bottom w:type="dxa" w:w="90"/>
              <w:right w:type="dxa" w:w="130"/>
            </w:tcMar>
          </w:tcPr>
          <w:p>
            <w:pPr>
              <w:spacing w:after="0" w:line="250"/>
            </w:pPr>
            <w:r>
              <w:rPr>
                <w:b/>
                <w:bCs/>
                <w:color w:val="1A1A1A"/>
                <w:sz w:val="19"/>
                <w:szCs w:val="19"/>
              </w:rPr>
              <w:t xml:space="preserve">Change</w:t>
            </w:r>
          </w:p>
        </w:tc>
        <w:tc>
          <w:tcPr>
            <w:tcW w:type="dxa" w:w="2860"/>
            <w:shd w:fill="EDEDED" w:color="auto" w:val="clear"/>
            <w:tcMar>
              <w:top w:type="dxa" w:w="90"/>
              <w:left w:type="dxa" w:w="130"/>
              <w:bottom w:type="dxa" w:w="90"/>
              <w:right w:type="dxa" w:w="130"/>
            </w:tcMar>
          </w:tcPr>
          <w:p>
            <w:pPr>
              <w:spacing w:after="0" w:line="250"/>
            </w:pPr>
            <w:r>
              <w:rPr>
                <w:b/>
                <w:bCs/>
                <w:color w:val="1A1A1A"/>
                <w:sz w:val="19"/>
                <w:szCs w:val="19"/>
              </w:rPr>
              <w:t xml:space="preserve">Reversible</w:t>
            </w:r>
          </w:p>
        </w:tc>
      </w:tr>
      <w:tr>
        <w:tc>
          <w:tcPr>
            <w:tcW w:type="dxa" w:w="210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confidence_basis</w:t>
            </w:r>
          </w:p>
        </w:tc>
        <w:tc>
          <w:tcPr>
            <w:tcW w:type="dxa" w:w="440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Enum recreated without MODEL_REJECTED. Adds MODEL_DECLINED, ARTIFACT_INVALID, MARKET_MISMATCH, INSUFFICIENT_FEATURES. Existing rows backfilled to RESEARCH_ONLY.</w:t>
            </w:r>
          </w:p>
        </w:tc>
        <w:tc>
          <w:tcPr>
            <w:tcW w:type="dxa" w:w="286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No. Backfill is lossy by design; the old value did not record which condition produced it.</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snapshot_correction_reason</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Adds GAME_RESUMPTION and OFFICIAL_STAT_CORRECTION.</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walk_forward_runs</w:t>
            </w:r>
          </w:p>
        </w:tc>
        <w:tc>
          <w:tcPr>
            <w:tcW w:type="dxa" w:w="440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Drops calibration_error. Adds expected_calibration_error, mean_absolute_prediction_error, brier_skill_score, prediction_std_dev, benchmark_margin, failure_reasons.</w:t>
            </w:r>
          </w:p>
        </w:tc>
        <w:tc>
          <w:tcPr>
            <w:tcW w:type="dxa" w:w="286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No. Historical calibration_error values are discarded; every existing run was produced by the inverted gate.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daily_market_board</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Adds feature_coverage, imputed_features, unknown_features.</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historical_outcomes</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Adds intentional_walks, hit_by_pitch, walk_definition, settled_without_snapshot.</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bullpen_availability_observations</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Adds d1/d2/d3_appeared and source_observation_game_date.</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venues</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Adds latitude, longitude, orientation_degrees, roof_type.</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game_weather_observations</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New append-only table.</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r>
        <w:tc>
          <w:tcPr>
            <w:tcW w:type="dxa" w:w="2100"/>
            <w:tcMar>
              <w:top w:type="dxa" w:w="90"/>
              <w:left w:type="dxa" w:w="130"/>
              <w:bottom w:type="dxa" w:w="90"/>
              <w:right w:type="dxa" w:w="130"/>
            </w:tcMar>
          </w:tcPr>
          <w:p>
            <w:pPr>
              <w:spacing w:after="0" w:line="250"/>
            </w:pPr>
            <w:r>
              <w:rPr>
                <w:b w:val="false"/>
                <w:bCs w:val="false"/>
                <w:color w:val="1A1A1A"/>
                <w:sz w:val="19"/>
                <w:szCs w:val="19"/>
              </w:rPr>
              <w:t xml:space="preserve">model_versions</w:t>
            </w:r>
          </w:p>
        </w:tc>
        <w:tc>
          <w:tcPr>
            <w:tcW w:type="dxa" w:w="4400"/>
            <w:tcMar>
              <w:top w:type="dxa" w:w="90"/>
              <w:left w:type="dxa" w:w="130"/>
              <w:bottom w:type="dxa" w:w="90"/>
              <w:right w:type="dxa" w:w="130"/>
            </w:tcMar>
          </w:tcPr>
          <w:p>
            <w:pPr>
              <w:spacing w:after="0" w:line="250"/>
            </w:pPr>
            <w:r>
              <w:rPr>
                <w:b w:val="false"/>
                <w:bCs w:val="false"/>
                <w:color w:val="1A1A1A"/>
                <w:sz w:val="19"/>
                <w:szCs w:val="19"/>
              </w:rPr>
              <w:t xml:space="preserve">New partial unique index: one ACTIVE row per market.</w:t>
            </w:r>
          </w:p>
        </w:tc>
        <w:tc>
          <w:tcPr>
            <w:tcW w:type="dxa" w:w="2860"/>
            <w:tcMar>
              <w:top w:type="dxa" w:w="90"/>
              <w:left w:type="dxa" w:w="130"/>
              <w:bottom w:type="dxa" w:w="90"/>
              <w:right w:type="dxa" w:w="130"/>
            </w:tcMar>
          </w:tcPr>
          <w:p>
            <w:pPr>
              <w:spacing w:after="0" w:line="250"/>
            </w:pPr>
            <w:r>
              <w:rPr>
                <w:b w:val="false"/>
                <w:bCs w:val="false"/>
                <w:color w:val="1A1A1A"/>
                <w:sz w:val="19"/>
                <w:szCs w:val="19"/>
              </w:rPr>
              <w:t xml:space="preserve">Additive.</w:t>
            </w:r>
          </w:p>
        </w:tc>
      </w:tr>
    </w:tbl>
    <w:p>
      <w:pPr>
        <w:spacing w:after="120" w:line="264"/>
      </w:pPr>
      <w:r>
        <w:rPr>
          <w:color w:val="1A1A1A"/>
          <w:sz w:val="21"/>
          <w:szCs w:val="21"/>
        </w:rPr>
        <w:t xml:space="preserve"/>
      </w:r>
    </w:p>
    <w:p>
      <w:pPr>
        <w:pStyle w:val="Heading2"/>
        <w:spacing w:after="100" w:before="240"/>
      </w:pPr>
      <w:r>
        <w:rPr>
          <w:b/>
          <w:bCs/>
          <w:color w:val="1A1A1A"/>
          <w:sz w:val="23"/>
          <w:szCs w:val="23"/>
        </w:rPr>
        <w:t xml:space="preserve">1.2  Retrain all four markets from scratch</w:t>
      </w:r>
    </w:p>
    <w:p>
      <w:pPr>
        <w:spacing w:after="120" w:line="264"/>
      </w:pPr>
      <w:r>
        <w:rPr>
          <w:color w:val="1A1A1A"/>
          <w:sz w:val="21"/>
          <w:szCs w:val="21"/>
        </w:rPr>
        <w:t xml:space="preserve">Every existing model artifact was fitted by the summed-univariate-slopes code and carries the old algorithm string. parseModelArtifact rejects them rather than reinterpreting them, which is deliberate. All seven CANDIDATE versions are now dead weight.</w:t>
      </w:r>
    </w:p>
    <w:p>
      <w:pPr>
        <w:pStyle w:val="ListParagraph"/>
        <w:numPr>
          <w:ilvl w:val="0"/>
          <w:numId w:val="2"/>
        </w:numPr>
        <w:spacing w:after="80" w:line="264"/>
      </w:pPr>
      <w:r>
        <w:rPr>
          <w:rFonts w:ascii="Consolas" w:cs="Consolas" w:eastAsia="Consolas" w:hAnsi="Consolas"/>
          <w:color w:val="1A1A1A"/>
          <w:sz w:val="21"/>
          <w:szCs w:val="21"/>
        </w:rPr>
        <w:t xml:space="preserve">POST /analyst/models/train?market=TB</w:t>
      </w:r>
      <w:r>
        <w:rPr>
          <w:color w:val="1A1A1A"/>
          <w:sz w:val="21"/>
          <w:szCs w:val="21"/>
        </w:rPr>
        <w:t xml:space="preserve">, then XBH, WALK and HR.</w:t>
      </w:r>
    </w:p>
    <w:p>
      <w:pPr>
        <w:pStyle w:val="ListParagraph"/>
        <w:numPr>
          <w:ilvl w:val="0"/>
          <w:numId w:val="2"/>
        </w:numPr>
        <w:spacing w:after="80" w:line="264"/>
      </w:pPr>
      <w:r>
        <w:rPr>
          <w:color w:val="1A1A1A"/>
          <w:sz w:val="21"/>
          <w:szCs w:val="21"/>
        </w:rPr>
        <w:t xml:space="preserve">Or let the pipeline do it: the new </w:t>
      </w:r>
      <w:r>
        <w:rPr>
          <w:rFonts w:ascii="Consolas" w:cs="Consolas" w:eastAsia="Consolas" w:hAnsi="Consolas"/>
          <w:color w:val="1A1A1A"/>
          <w:sz w:val="21"/>
          <w:szCs w:val="21"/>
        </w:rPr>
        <w:t xml:space="preserve">model_training</w:t>
      </w:r>
      <w:r>
        <w:rPr>
          <w:color w:val="1A1A1A"/>
          <w:sz w:val="21"/>
          <w:szCs w:val="21"/>
        </w:rPr>
        <w:t xml:space="preserve"> orchestration step trains and validates all four on every run.</w:t>
      </w:r>
    </w:p>
    <w:p>
      <w:pPr>
        <w:spacing w:after="120" w:line="264"/>
      </w:pPr>
      <w:r>
        <w:rPr>
          <w:color w:val="5A5A5A"/>
          <w:sz w:val="19"/>
          <w:szCs w:val="19"/>
        </w:rPr>
        <w:t xml:space="preserve">Expect the training row count to drop. The training query now excludes snapshots frozen at or after first pitch and rows settled without a snapshot. That is the fix working, not a regression.</w:t>
      </w:r>
    </w:p>
    <w:p>
      <w:pPr>
        <w:pStyle w:val="Heading2"/>
        <w:spacing w:after="100" w:before="240"/>
      </w:pPr>
      <w:r>
        <w:rPr>
          <w:b/>
          <w:bCs/>
          <w:color w:val="1A1A1A"/>
          <w:sz w:val="23"/>
          <w:szCs w:val="23"/>
        </w:rPr>
        <w:t xml:space="preserve">1.3  Validate, and expect failures</w:t>
      </w:r>
    </w:p>
    <w:p>
      <w:pPr>
        <w:spacing w:after="120" w:line="264"/>
      </w:pPr>
      <w:r>
        <w:rPr>
          <w:color w:val="1A1A1A"/>
          <w:sz w:val="21"/>
          <w:szCs w:val="21"/>
        </w:rPr>
        <w:t xml:space="preserve">Walk-forward validation now needs at least ten distinct slates with frozen snapshots and settled outcomes: five of history before the first of five folds. If there are fewer, every market returns INCOMPLETE with a message saying so. That is a data-volume problem, not a code problem, and it may mean waiting for more slates before anything can be promoted.</w:t>
      </w:r>
    </w:p>
    <w:p>
      <w:pPr>
        <w:spacing w:after="120" w:line="264"/>
      </w:pPr>
      <w:r>
        <w:rPr>
          <w:color w:val="5A5A5A"/>
          <w:sz w:val="19"/>
          <w:szCs w:val="19"/>
        </w:rPr>
        <w:t xml:space="preserve">A model that passes has to clear four gates at once: expected calibration error at or below 0.05, prediction standard deviation above 0.03, a Brier margin derived from the held-out row count, and at least five folds. The plan is explicit that thresholds must not be loosened to make old models pass.</w:t>
      </w:r>
    </w:p>
    <w:p>
      <w:pPr>
        <w:pStyle w:val="Heading2"/>
        <w:spacing w:after="100" w:before="240"/>
      </w:pPr>
      <w:r>
        <w:rPr>
          <w:b/>
          <w:bCs/>
          <w:color w:val="1A1A1A"/>
          <w:sz w:val="23"/>
          <w:szCs w:val="23"/>
        </w:rPr>
        <w:t xml:space="preserve">1.4  Promote, deliberately</w:t>
      </w:r>
    </w:p>
    <w:p>
      <w:pPr>
        <w:spacing w:after="80" w:line="264"/>
      </w:pPr>
      <w:r>
        <w:rPr>
          <w:rFonts w:ascii="Consolas" w:cs="Consolas" w:eastAsia="Consolas" w:hAnsi="Consolas"/>
          <w:b/>
          <w:bCs/>
          <w:color w:val="1A1A1A"/>
          <w:sz w:val="21"/>
          <w:szCs w:val="21"/>
        </w:rPr>
        <w:t xml:space="preserve">POST /analyst/models/:versionId/promote</w:t>
      </w:r>
    </w:p>
    <w:p>
      <w:pPr>
        <w:spacing w:after="120" w:line="264"/>
      </w:pPr>
      <w:r>
        <w:rPr>
          <w:color w:val="1A1A1A"/>
          <w:sz w:val="21"/>
          <w:szCs w:val="21"/>
        </w:rPr>
        <w:t xml:space="preserve">This is operator-initiated and is not reachable from the pipeline. It refuses with a named reason if any gate is unmet. It retires the displaced model for that market in the same transaction and writes an audit event.</w:t>
      </w:r>
    </w:p>
    <w:p>
      <w:pPr>
        <w:spacing w:after="120" w:line="264"/>
      </w:pPr>
      <w:r>
        <w:rPr>
          <w:color w:val="1A1A1A"/>
          <w:sz w:val="21"/>
          <w:szCs w:val="21"/>
        </w:rPr>
        <w:t xml:space="preserve">The kill switch is </w:t>
      </w:r>
      <w:r>
        <w:rPr>
          <w:rFonts w:ascii="Consolas" w:cs="Consolas" w:eastAsia="Consolas" w:hAnsi="Consolas"/>
          <w:color w:val="1A1A1A"/>
          <w:sz w:val="21"/>
          <w:szCs w:val="21"/>
        </w:rPr>
        <w:t xml:space="preserve">POST /analyst/models/:versionId/demote</w:t>
      </w:r>
      <w:r>
        <w:rPr>
          <w:color w:val="1A1A1A"/>
          <w:sz w:val="21"/>
          <w:szCs w:val="21"/>
        </w:rPr>
        <w:t xml:space="preserve">. One call returns a market to research-only on the next board refresh.</w:t>
      </w:r>
    </w:p>
    <w:p>
      <w:pPr>
        <w:pStyle w:val="Heading2"/>
        <w:spacing w:after="100" w:before="240"/>
      </w:pPr>
      <w:r>
        <w:rPr>
          <w:b/>
          <w:bCs/>
          <w:color w:val="1A1A1A"/>
          <w:sz w:val="23"/>
          <w:szCs w:val="23"/>
        </w:rPr>
        <w:t xml:space="preserve">1.5  Refresh the board and record the result</w:t>
      </w:r>
    </w:p>
    <w:p>
      <w:pPr>
        <w:spacing w:after="80" w:line="264"/>
      </w:pPr>
      <w:r>
        <w:rPr>
          <w:rFonts w:ascii="Consolas" w:cs="Consolas" w:eastAsia="Consolas" w:hAnsi="Consolas"/>
          <w:b/>
          <w:bCs/>
          <w:color w:val="1A1A1A"/>
          <w:sz w:val="21"/>
          <w:szCs w:val="21"/>
        </w:rPr>
        <w:t xml:space="preserve">POST /analyst/market-board/refresh</w:t>
      </w:r>
    </w:p>
    <w:p>
      <w:pPr>
        <w:spacing w:after="120" w:line="264"/>
      </w:pPr>
      <w:r>
        <w:rPr>
          <w:color w:val="1A1A1A"/>
          <w:sz w:val="21"/>
          <w:szCs w:val="21"/>
        </w:rPr>
        <w:t xml:space="preserve">Then run the row count by confidence_basis. This is the acceptance evidence Task 1.5 asks for and the single clearest signal that the confidence layer is alive:</w:t>
      </w:r>
    </w:p>
    <w:p>
      <w:pPr>
        <w:spacing w:after="160" w:line="264"/>
      </w:pPr>
      <w:r>
        <w:rPr>
          <w:rFonts w:ascii="Consolas" w:cs="Consolas" w:eastAsia="Consolas" w:hAnsi="Consolas"/>
          <w:color w:val="1A1A1A"/>
          <w:sz w:val="19"/>
          <w:szCs w:val="19"/>
        </w:rPr>
        <w:t xml:space="preserve">SELECT confidence_basis, count(*) FROM daily_market_board WHERE slate_date = CURRENT_DATE GROUP BY 1;</w:t>
      </w:r>
    </w:p>
    <w:p>
      <w:pPr>
        <w:spacing w:after="120" w:line="264"/>
      </w:pPr>
      <w:r>
        <w:rPr>
          <w:color w:val="5A5A5A"/>
          <w:sz w:val="19"/>
          <w:szCs w:val="19"/>
        </w:rPr>
        <w:t xml:space="preserve">Before the remediation this returned one row: RESEARCH_ONLY, 1472. Anything other than that is progress.</w:t>
      </w:r>
    </w:p>
    <w:p>
      <w:r>
        <w:br w:type="page"/>
      </w:r>
    </w:p>
    <w:p>
      <w:pPr>
        <w:pStyle w:val="Heading1"/>
        <w:pBdr>
          <w:bottom w:val="single" w:color="C8C8C8" w:sz="6" w:space="6"/>
        </w:pBdr>
        <w:spacing w:after="140" w:before="340"/>
      </w:pPr>
      <w:r>
        <w:rPr>
          <w:b/>
          <w:bCs/>
          <w:color w:val="1A1A1A"/>
          <w:sz w:val="28"/>
          <w:szCs w:val="28"/>
        </w:rPr>
        <w:t xml:space="preserve">2. Two questions only you can answer</w:t>
      </w:r>
    </w:p>
    <w:p>
      <w:pPr>
        <w:spacing w:after="120" w:line="264"/>
      </w:pPr>
      <w:r>
        <w:rPr>
          <w:color w:val="1A1A1A"/>
          <w:sz w:val="21"/>
          <w:szCs w:val="21"/>
        </w:rPr>
        <w:t xml:space="preserve">Both are blocking in the sense that the code currently carries an assumption in place of an answer, and both assumptions are labelled as assumptions in the response payloads.</w:t>
      </w:r>
    </w:p>
    <w:p>
      <w:pPr>
        <w:pStyle w:val="Heading2"/>
        <w:spacing w:after="100" w:before="240"/>
      </w:pPr>
      <w:r>
        <w:rPr>
          <w:b/>
          <w:bCs/>
          <w:color w:val="1A1A1A"/>
          <w:sz w:val="23"/>
          <w:szCs w:val="23"/>
        </w:rPr>
        <w:t xml:space="preserve">2.1  The walk settlement definition</w:t>
      </w:r>
    </w:p>
    <w:p>
      <w:pPr>
        <w:spacing w:after="120" w:line="264"/>
      </w:pPr>
      <w:r>
        <w:rPr>
          <w:color w:val="1A1A1A"/>
          <w:sz w:val="21"/>
          <w:szCs w:val="21"/>
        </w:rPr>
        <w:t xml:space="preserve">Do intentional walks count toward the walk market, and does hit by pitch count?</w:t>
      </w:r>
    </w:p>
    <w:p>
      <w:pPr>
        <w:spacing w:after="120" w:line="264"/>
      </w:pPr>
      <w:r>
        <w:rPr>
          <w:color w:val="1A1A1A"/>
          <w:sz w:val="21"/>
          <w:szCs w:val="21"/>
        </w:rPr>
        <w:t xml:space="preserve">The code preserves the previous behaviour and says so: walks are graded as MLB </w:t>
      </w:r>
      <w:r>
        <w:rPr>
          <w:rFonts w:ascii="Consolas" w:cs="Consolas" w:eastAsia="Consolas" w:hAnsi="Consolas"/>
          <w:color w:val="1A1A1A"/>
          <w:sz w:val="21"/>
          <w:szCs w:val="21"/>
        </w:rPr>
        <w:t xml:space="preserve">baseOnBalls</w:t>
      </w:r>
      <w:r>
        <w:rPr>
          <w:color w:val="1A1A1A"/>
          <w:sz w:val="21"/>
          <w:szCs w:val="21"/>
        </w:rPr>
        <w:t xml:space="preserve">, which includes intentional walks and excludes hit by pitch. </w:t>
      </w:r>
      <w:r>
        <w:rPr>
          <w:rFonts w:ascii="Consolas" w:cs="Consolas" w:eastAsia="Consolas" w:hAnsi="Consolas"/>
          <w:color w:val="1A1A1A"/>
          <w:sz w:val="21"/>
          <w:szCs w:val="21"/>
        </w:rPr>
        <w:t xml:space="preserve">WALK_SETTLEMENT_POLICY</w:t>
      </w:r>
      <w:r>
        <w:rPr>
          <w:color w:val="1A1A1A"/>
          <w:sz w:val="21"/>
          <w:szCs w:val="21"/>
        </w:rPr>
        <w:t xml:space="preserve"> in settlement.ts marks itself </w:t>
      </w:r>
      <w:r>
        <w:rPr>
          <w:rFonts w:ascii="Consolas" w:cs="Consolas" w:eastAsia="Consolas" w:hAnsi="Consolas"/>
          <w:color w:val="1A1A1A"/>
          <w:sz w:val="21"/>
          <w:szCs w:val="21"/>
        </w:rPr>
        <w:t xml:space="preserve">assumed: true</w:t>
      </w:r>
      <w:r>
        <w:rPr>
          <w:color w:val="1A1A1A"/>
          <w:sz w:val="21"/>
          <w:szCs w:val="21"/>
        </w:rPr>
        <w:t xml:space="preserve"> and every settled row records the definition that produced it.</w:t>
      </w:r>
    </w:p>
    <w:p>
      <w:pPr>
        <w:spacing w:after="120" w:line="264"/>
      </w:pPr>
      <w:r>
        <w:rPr>
          <w:color w:val="1A1A1A"/>
          <w:sz w:val="21"/>
          <w:szCs w:val="21"/>
        </w:rPr>
        <w:t xml:space="preserve">Changing it is two flags plus a historical re-grade. No feed re-fetch is needed, because walks, intentional walks and hit by pitch are now persisted as separate components on every row regardless of which definition is active. The longer this stays unanswered, the more settled rows carry a definition that may not match the one you are graded against.</w:t>
      </w:r>
    </w:p>
    <w:p>
      <w:pPr>
        <w:pStyle w:val="Heading2"/>
        <w:spacing w:after="100" w:before="240"/>
      </w:pPr>
      <w:r>
        <w:rPr>
          <w:b/>
          <w:bCs/>
          <w:color w:val="1A1A1A"/>
          <w:sz w:val="23"/>
          <w:szCs w:val="23"/>
        </w:rPr>
        <w:t xml:space="preserve">2.2  Whether the AI surfaces need an approved operator session</w:t>
      </w:r>
    </w:p>
    <w:p>
      <w:pPr>
        <w:spacing w:after="120" w:line="264"/>
      </w:pPr>
      <w:r>
        <w:rPr>
          <w:rFonts w:ascii="Consolas" w:cs="Consolas" w:eastAsia="Consolas" w:hAnsi="Consolas"/>
          <w:color w:val="1A1A1A"/>
          <w:sz w:val="21"/>
          <w:szCs w:val="21"/>
        </w:rPr>
        <w:t xml:space="preserve">POST /analyst/ai/tool-call</w:t>
      </w:r>
      <w:r>
        <w:rPr>
          <w:color w:val="1A1A1A"/>
          <w:sz w:val="21"/>
          <w:szCs w:val="21"/>
        </w:rPr>
        <w:t xml:space="preserve"> and </w:t>
      </w:r>
      <w:r>
        <w:rPr>
          <w:rFonts w:ascii="Consolas" w:cs="Consolas" w:eastAsia="Consolas" w:hAnsi="Consolas"/>
          <w:color w:val="1A1A1A"/>
          <w:sz w:val="21"/>
          <w:szCs w:val="21"/>
        </w:rPr>
        <w:t xml:space="preserve">POST /analyst/ai/chat</w:t>
      </w:r>
      <w:r>
        <w:rPr>
          <w:color w:val="1A1A1A"/>
          <w:sz w:val="21"/>
          <w:szCs w:val="21"/>
        </w:rPr>
        <w:t xml:space="preserve"> are reachable without the </w:t>
      </w:r>
      <w:r>
        <w:rPr>
          <w:rFonts w:ascii="Consolas" w:cs="Consolas" w:eastAsia="Consolas" w:hAnsi="Consolas"/>
          <w:color w:val="1A1A1A"/>
          <w:sz w:val="21"/>
          <w:szCs w:val="21"/>
        </w:rPr>
        <w:t xml:space="preserve">ai_operator_approval</w:t>
      </w:r>
      <w:r>
        <w:rPr>
          <w:color w:val="1A1A1A"/>
          <w:sz w:val="21"/>
          <w:szCs w:val="21"/>
        </w:rPr>
        <w:t xml:space="preserve"> cookie that the operator-session routes exist to issue. The tool gateway itself is well bounded: read-only registry, allowlisted parameter keys, append-only call log, server-side tool selection. The question is whether that is enough for a surface that is HTTP-reachable.</w:t>
      </w:r>
    </w:p>
    <w:p>
      <w:pPr>
        <w:spacing w:after="120" w:line="264"/>
      </w:pPr>
      <w:r>
        <w:rPr>
          <w:color w:val="5A5A5A"/>
          <w:sz w:val="19"/>
          <w:szCs w:val="19"/>
        </w:rPr>
        <w:t xml:space="preserve">If the answer is that no approval is needed, that should be a comment in the code, because its absence currently reads as an oversight rather than a decision.</w:t>
      </w:r>
    </w:p>
    <w:p>
      <w:pPr>
        <w:pStyle w:val="Heading2"/>
        <w:spacing w:after="100" w:before="240"/>
      </w:pPr>
      <w:r>
        <w:rPr>
          <w:b/>
          <w:bCs/>
          <w:color w:val="1A1A1A"/>
          <w:sz w:val="23"/>
          <w:szCs w:val="23"/>
        </w:rPr>
        <w:t xml:space="preserve">2.3  A smaller one: the working directories</w:t>
      </w:r>
    </w:p>
    <w:p>
      <w:pPr>
        <w:spacing w:after="120" w:line="264"/>
      </w:pPr>
      <w:r>
        <w:rPr>
          <w:rFonts w:ascii="Consolas" w:cs="Consolas" w:eastAsia="Consolas" w:hAnsi="Consolas"/>
          <w:color w:val="1A1A1A"/>
          <w:sz w:val="21"/>
          <w:szCs w:val="21"/>
        </w:rPr>
        <w:t xml:space="preserve">attached_assets/</w:t>
      </w:r>
      <w:r>
        <w:rPr>
          <w:color w:val="1A1A1A"/>
          <w:sz w:val="21"/>
          <w:szCs w:val="21"/>
        </w:rPr>
        <w:t xml:space="preserve">, </w:t>
      </w:r>
      <w:r>
        <w:rPr>
          <w:rFonts w:ascii="Consolas" w:cs="Consolas" w:eastAsia="Consolas" w:hAnsi="Consolas"/>
          <w:color w:val="1A1A1A"/>
          <w:sz w:val="21"/>
          <w:szCs w:val="21"/>
        </w:rPr>
        <w:t xml:space="preserve">screenshots/</w:t>
      </w:r>
      <w:r>
        <w:rPr>
          <w:color w:val="1A1A1A"/>
          <w:sz w:val="21"/>
          <w:szCs w:val="21"/>
        </w:rPr>
        <w:t xml:space="preserve"> and </w:t>
      </w:r>
      <w:r>
        <w:rPr>
          <w:rFonts w:ascii="Consolas" w:cs="Consolas" w:eastAsia="Consolas" w:hAnsi="Consolas"/>
          <w:color w:val="1A1A1A"/>
          <w:sz w:val="21"/>
          <w:szCs w:val="21"/>
        </w:rPr>
        <w:t xml:space="preserve">reports/</w:t>
      </w:r>
      <w:r>
        <w:rPr>
          <w:color w:val="1A1A1A"/>
          <w:sz w:val="21"/>
          <w:szCs w:val="21"/>
        </w:rPr>
        <w:t xml:space="preserve"> hold 90 tracked files that are not build inputs. They were excluded from deployed images but not deleted, because removing 90 files of your material is your call. See docs/repository-inventory.md.</w:t>
      </w:r>
    </w:p>
    <w:p>
      <w:pPr>
        <w:pStyle w:val="Heading1"/>
        <w:pBdr>
          <w:bottom w:val="single" w:color="C8C8C8" w:sz="6" w:space="6"/>
        </w:pBdr>
        <w:spacing w:after="140" w:before="340"/>
      </w:pPr>
      <w:r>
        <w:rPr>
          <w:b/>
          <w:bCs/>
          <w:color w:val="1A1A1A"/>
          <w:sz w:val="28"/>
          <w:szCs w:val="28"/>
        </w:rPr>
        <w:t xml:space="preserve">3. Evidence still owed</w:t>
      </w:r>
    </w:p>
    <w:p>
      <w:pPr>
        <w:spacing w:after="120" w:line="264"/>
      </w:pPr>
      <w:r>
        <w:rPr>
          <w:color w:val="1A1A1A"/>
          <w:sz w:val="21"/>
          <w:szCs w:val="21"/>
        </w:rPr>
        <w:t xml:space="preserve">Four acceptance criteria in the plan need a database and a live slate. This session had neither, so each is stated as owed rather than quietly skipped. All four are quick once Section 1 is done.</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1500"/>
        <w:gridCol w:w="4700"/>
        <w:gridCol w:w="3160"/>
      </w:tblGrid>
      <w:tr>
        <w:trPr>
          <w:tblHeader/>
        </w:trPr>
        <w:tc>
          <w:tcPr>
            <w:tcW w:type="dxa" w:w="1500"/>
            <w:shd w:fill="EDEDED" w:color="auto" w:val="clear"/>
            <w:tcMar>
              <w:top w:type="dxa" w:w="90"/>
              <w:left w:type="dxa" w:w="130"/>
              <w:bottom w:type="dxa" w:w="90"/>
              <w:right w:type="dxa" w:w="130"/>
            </w:tcMar>
          </w:tcPr>
          <w:p>
            <w:pPr>
              <w:spacing w:after="0" w:line="250"/>
            </w:pPr>
            <w:r>
              <w:rPr>
                <w:b/>
                <w:bCs/>
                <w:color w:val="1A1A1A"/>
                <w:sz w:val="19"/>
                <w:szCs w:val="19"/>
              </w:rPr>
              <w:t xml:space="preserve">Task</w:t>
            </w:r>
          </w:p>
        </w:tc>
        <w:tc>
          <w:tcPr>
            <w:tcW w:type="dxa" w:w="4700"/>
            <w:shd w:fill="EDEDED" w:color="auto" w:val="clear"/>
            <w:tcMar>
              <w:top w:type="dxa" w:w="90"/>
              <w:left w:type="dxa" w:w="130"/>
              <w:bottom w:type="dxa" w:w="90"/>
              <w:right w:type="dxa" w:w="130"/>
            </w:tcMar>
          </w:tcPr>
          <w:p>
            <w:pPr>
              <w:spacing w:after="0" w:line="250"/>
            </w:pPr>
            <w:r>
              <w:rPr>
                <w:b/>
                <w:bCs/>
                <w:color w:val="1A1A1A"/>
                <w:sz w:val="19"/>
                <w:szCs w:val="19"/>
              </w:rPr>
              <w:t xml:space="preserve">What to record</w:t>
            </w:r>
          </w:p>
        </w:tc>
        <w:tc>
          <w:tcPr>
            <w:tcW w:type="dxa" w:w="3160"/>
            <w:shd w:fill="EDEDED" w:color="auto" w:val="clear"/>
            <w:tcMar>
              <w:top w:type="dxa" w:w="90"/>
              <w:left w:type="dxa" w:w="130"/>
              <w:bottom w:type="dxa" w:w="90"/>
              <w:right w:type="dxa" w:w="130"/>
            </w:tcMar>
          </w:tcPr>
          <w:p>
            <w:pPr>
              <w:spacing w:after="0" w:line="250"/>
            </w:pPr>
            <w:r>
              <w:rPr>
                <w:b/>
                <w:bCs/>
                <w:color w:val="1A1A1A"/>
                <w:sz w:val="19"/>
                <w:szCs w:val="19"/>
              </w:rPr>
              <w:t xml:space="preserve">How</w:t>
            </w:r>
          </w:p>
        </w:tc>
      </w:tr>
      <w:tr>
        <w:tc>
          <w:tcPr>
            <w:tcW w:type="dxa" w:w="1500"/>
            <w:tcMar>
              <w:top w:type="dxa" w:w="90"/>
              <w:left w:type="dxa" w:w="130"/>
              <w:bottom w:type="dxa" w:w="90"/>
              <w:right w:type="dxa" w:w="130"/>
            </w:tcMar>
          </w:tcPr>
          <w:p>
            <w:pPr>
              <w:spacing w:after="0" w:line="250"/>
            </w:pPr>
            <w:r>
              <w:rPr>
                <w:b w:val="false"/>
                <w:bCs w:val="false"/>
                <w:color w:val="1A1A1A"/>
                <w:sz w:val="19"/>
                <w:szCs w:val="19"/>
              </w:rPr>
              <w:t xml:space="preserve">2.2</w:t>
            </w:r>
          </w:p>
        </w:tc>
        <w:tc>
          <w:tcPr>
            <w:tcW w:type="dxa" w:w="4700"/>
            <w:tcMar>
              <w:top w:type="dxa" w:w="90"/>
              <w:left w:type="dxa" w:w="130"/>
              <w:bottom w:type="dxa" w:w="90"/>
              <w:right w:type="dxa" w:w="130"/>
            </w:tcMar>
          </w:tcPr>
          <w:p>
            <w:pPr>
              <w:spacing w:after="0" w:line="250"/>
            </w:pPr>
            <w:r>
              <w:rPr>
                <w:b w:val="false"/>
                <w:bCs w:val="false"/>
                <w:color w:val="1A1A1A"/>
                <w:sz w:val="19"/>
                <w:szCs w:val="19"/>
              </w:rPr>
              <w:t xml:space="preserve">Count of games returning a Round Robin pair, before and after removing the bullpen veto. Both numbers into the PR.</w:t>
            </w:r>
          </w:p>
        </w:tc>
        <w:tc>
          <w:tcPr>
            <w:tcW w:type="dxa" w:w="3160"/>
            <w:tcMar>
              <w:top w:type="dxa" w:w="90"/>
              <w:left w:type="dxa" w:w="130"/>
              <w:bottom w:type="dxa" w:w="90"/>
              <w:right w:type="dxa" w:w="130"/>
            </w:tcMar>
          </w:tcPr>
          <w:p>
            <w:pPr>
              <w:spacing w:after="0" w:line="250"/>
            </w:pPr>
            <w:r>
              <w:rPr>
                <w:b w:val="false"/>
                <w:bCs w:val="false"/>
                <w:color w:val="1A1A1A"/>
                <w:sz w:val="19"/>
                <w:szCs w:val="19"/>
              </w:rPr>
              <w:t xml:space="preserve">Run the comparison endpoint against a recent real slate. The before number needs the pre-merge code, so capture it from a checkout of the parent commit.</w:t>
            </w:r>
          </w:p>
        </w:tc>
      </w:tr>
      <w:tr>
        <w:tc>
          <w:tcPr>
            <w:tcW w:type="dxa" w:w="1500"/>
            <w:tcMar>
              <w:top w:type="dxa" w:w="90"/>
              <w:left w:type="dxa" w:w="130"/>
              <w:bottom w:type="dxa" w:w="90"/>
              <w:right w:type="dxa" w:w="130"/>
            </w:tcMar>
          </w:tcPr>
          <w:p>
            <w:pPr>
              <w:spacing w:after="0" w:line="250"/>
            </w:pPr>
            <w:r>
              <w:rPr>
                <w:b w:val="false"/>
                <w:bCs w:val="false"/>
                <w:color w:val="1A1A1A"/>
                <w:sz w:val="19"/>
                <w:szCs w:val="19"/>
              </w:rPr>
              <w:t xml:space="preserve">2.6</w:t>
            </w:r>
          </w:p>
        </w:tc>
        <w:tc>
          <w:tcPr>
            <w:tcW w:type="dxa" w:w="4700"/>
            <w:tcMar>
              <w:top w:type="dxa" w:w="90"/>
              <w:left w:type="dxa" w:w="130"/>
              <w:bottom w:type="dxa" w:w="90"/>
              <w:right w:type="dxa" w:w="130"/>
            </w:tcMar>
          </w:tcPr>
          <w:p>
            <w:pPr>
              <w:spacing w:after="0" w:line="250"/>
            </w:pPr>
            <w:r>
              <w:rPr>
                <w:b w:val="false"/>
                <w:bCs w:val="false"/>
                <w:color w:val="1A1A1A"/>
                <w:sz w:val="19"/>
                <w:szCs w:val="19"/>
              </w:rPr>
              <w:t xml:space="preserve">runTBEngine wall time on a full slate, before and after.</w:t>
            </w:r>
          </w:p>
        </w:tc>
        <w:tc>
          <w:tcPr>
            <w:tcW w:type="dxa" w:w="3160"/>
            <w:tcMar>
              <w:top w:type="dxa" w:w="90"/>
              <w:left w:type="dxa" w:w="130"/>
              <w:bottom w:type="dxa" w:w="90"/>
              <w:right w:type="dxa" w:w="130"/>
            </w:tcMar>
          </w:tcPr>
          <w:p>
            <w:pPr>
              <w:spacing w:after="0" w:line="250"/>
            </w:pPr>
            <w:r>
              <w:rPr>
                <w:b w:val="false"/>
                <w:bCs w:val="false"/>
                <w:color w:val="1A1A1A"/>
                <w:sz w:val="19"/>
                <w:szCs w:val="19"/>
              </w:rPr>
              <w:t xml:space="preserve">Same approach. The statement count is already asserted in tests; the wall clock is not.</w:t>
            </w:r>
          </w:p>
        </w:tc>
      </w:tr>
      <w:tr>
        <w:tc>
          <w:tcPr>
            <w:tcW w:type="dxa" w:w="1500"/>
            <w:tcMar>
              <w:top w:type="dxa" w:w="90"/>
              <w:left w:type="dxa" w:w="130"/>
              <w:bottom w:type="dxa" w:w="90"/>
              <w:right w:type="dxa" w:w="130"/>
            </w:tcMar>
          </w:tcPr>
          <w:p>
            <w:pPr>
              <w:spacing w:after="0" w:line="250"/>
            </w:pPr>
            <w:r>
              <w:rPr>
                <w:b w:val="false"/>
                <w:bCs w:val="false"/>
                <w:color w:val="1A1A1A"/>
                <w:sz w:val="19"/>
                <w:szCs w:val="19"/>
              </w:rPr>
              <w:t xml:space="preserve">4.1, 4.2</w:t>
            </w:r>
          </w:p>
        </w:tc>
        <w:tc>
          <w:tcPr>
            <w:tcW w:type="dxa" w:w="4700"/>
            <w:tcMar>
              <w:top w:type="dxa" w:w="90"/>
              <w:left w:type="dxa" w:w="130"/>
              <w:bottom w:type="dxa" w:w="90"/>
              <w:right w:type="dxa" w:w="130"/>
            </w:tcMar>
          </w:tcPr>
          <w:p>
            <w:pPr>
              <w:spacing w:after="0" w:line="250"/>
            </w:pPr>
            <w:r>
              <w:rPr>
                <w:b w:val="false"/>
                <w:bCs w:val="false"/>
                <w:color w:val="1A1A1A"/>
                <w:sz w:val="19"/>
                <w:szCs w:val="19"/>
              </w:rPr>
              <w:t xml:space="preserve">Board rank correlation before and after, on a real slate.</w:t>
            </w:r>
          </w:p>
        </w:tc>
        <w:tc>
          <w:tcPr>
            <w:tcW w:type="dxa" w:w="3160"/>
            <w:tcMar>
              <w:top w:type="dxa" w:w="90"/>
              <w:left w:type="dxa" w:w="130"/>
              <w:bottom w:type="dxa" w:w="90"/>
              <w:right w:type="dxa" w:w="130"/>
            </w:tcMar>
          </w:tcPr>
          <w:p>
            <w:pPr>
              <w:spacing w:after="0" w:line="250"/>
            </w:pPr>
            <w:r>
              <w:rPr>
                <w:b w:val="false"/>
                <w:bCs w:val="false"/>
                <w:color w:val="1A1A1A"/>
                <w:sz w:val="19"/>
                <w:szCs w:val="19"/>
              </w:rPr>
              <w:t xml:space="preserve">Both phases change selection output. The plan requires this specifically because both landed together.</w:t>
            </w:r>
          </w:p>
        </w:tc>
      </w:tr>
      <w:tr>
        <w:tc>
          <w:tcPr>
            <w:tcW w:type="dxa" w:w="1500"/>
            <w:tcMar>
              <w:top w:type="dxa" w:w="90"/>
              <w:left w:type="dxa" w:w="130"/>
              <w:bottom w:type="dxa" w:w="90"/>
              <w:right w:type="dxa" w:w="130"/>
            </w:tcMar>
          </w:tcPr>
          <w:p>
            <w:pPr>
              <w:spacing w:after="0" w:line="250"/>
            </w:pPr>
            <w:r>
              <w:rPr>
                <w:b w:val="false"/>
                <w:bCs w:val="false"/>
                <w:color w:val="1A1A1A"/>
                <w:sz w:val="19"/>
                <w:szCs w:val="19"/>
              </w:rPr>
              <w:t xml:space="preserve">5.3</w:t>
            </w:r>
          </w:p>
        </w:tc>
        <w:tc>
          <w:tcPr>
            <w:tcW w:type="dxa" w:w="4700"/>
            <w:tcMar>
              <w:top w:type="dxa" w:w="90"/>
              <w:left w:type="dxa" w:w="130"/>
              <w:bottom w:type="dxa" w:w="90"/>
              <w:right w:type="dxa" w:w="130"/>
            </w:tcMar>
          </w:tcPr>
          <w:p>
            <w:pPr>
              <w:spacing w:after="0" w:line="250"/>
            </w:pPr>
            <w:r>
              <w:rPr>
                <w:b w:val="false"/>
                <w:bCs w:val="false"/>
                <w:color w:val="1A1A1A"/>
                <w:sz w:val="19"/>
                <w:szCs w:val="19"/>
              </w:rPr>
              <w:t xml:space="preserve">Query count for a full bullpen refresh, measured not estimated.</w:t>
            </w:r>
          </w:p>
        </w:tc>
        <w:tc>
          <w:tcPr>
            <w:tcW w:type="dxa" w:w="3160"/>
            <w:tcMar>
              <w:top w:type="dxa" w:w="90"/>
              <w:left w:type="dxa" w:w="130"/>
              <w:bottom w:type="dxa" w:w="90"/>
              <w:right w:type="dxa" w:w="130"/>
            </w:tcMar>
          </w:tcPr>
          <w:p>
            <w:pPr>
              <w:spacing w:after="0" w:line="250"/>
            </w:pPr>
            <w:r>
              <w:rPr>
                <w:b w:val="false"/>
                <w:bCs w:val="false"/>
                <w:color w:val="1A1A1A"/>
                <w:sz w:val="19"/>
                <w:szCs w:val="19"/>
              </w:rPr>
              <w:t xml:space="preserve">Log statement counts around refreshBullpen, or read pg_stat_statements before and after.</w:t>
            </w:r>
          </w:p>
        </w:tc>
      </w:tr>
    </w:tbl>
    <w:p>
      <w:pPr>
        <w:spacing w:after="120" w:line="264"/>
      </w:pPr>
      <w:r>
        <w:rPr>
          <w:color w:val="1A1A1A"/>
          <w:sz w:val="21"/>
          <w:szCs w:val="21"/>
        </w:rPr>
        <w:t xml:space="preserve"/>
      </w:r>
    </w:p>
    <w:p>
      <w:pPr>
        <w:spacing w:after="120" w:line="264"/>
      </w:pPr>
      <w:r>
        <w:rPr>
          <w:color w:val="5A5A5A"/>
          <w:sz w:val="19"/>
          <w:szCs w:val="19"/>
        </w:rPr>
        <w:t xml:space="preserve">A fifth measurement belongs to the audit rather than the plan: the real population rate of players.throws. See S1 below.</w:t>
      </w:r>
    </w:p>
    <w:p>
      <w:r>
        <w:br w:type="page"/>
      </w:r>
    </w:p>
    <w:p>
      <w:pPr>
        <w:pStyle w:val="Heading1"/>
        <w:pBdr>
          <w:bottom w:val="single" w:color="C8C8C8" w:sz="6" w:space="6"/>
        </w:pBdr>
        <w:spacing w:after="140" w:before="340"/>
      </w:pPr>
      <w:r>
        <w:rPr>
          <w:b/>
          <w:bCs/>
          <w:color w:val="1A1A1A"/>
          <w:sz w:val="28"/>
          <w:szCs w:val="28"/>
        </w:rPr>
        <w:t xml:space="preserve">4. The audit backlog</w:t>
      </w:r>
    </w:p>
    <w:p>
      <w:pPr>
        <w:spacing w:after="120" w:line="264"/>
      </w:pPr>
      <w:r>
        <w:rPr>
          <w:color w:val="1A1A1A"/>
          <w:sz w:val="21"/>
          <w:szCs w:val="21"/>
        </w:rPr>
        <w:t xml:space="preserve">Seventeen items, from the extended audit in </w:t>
      </w:r>
      <w:r>
        <w:rPr>
          <w:rFonts w:ascii="Consolas" w:cs="Consolas" w:eastAsia="Consolas" w:hAnsi="Consolas"/>
          <w:color w:val="1A1A1A"/>
          <w:sz w:val="21"/>
          <w:szCs w:val="21"/>
        </w:rPr>
        <w:t xml:space="preserve">docs/audit-extension-2026-08-24.md</w:t>
      </w:r>
      <w:r>
        <w:rPr>
          <w:color w:val="1A1A1A"/>
          <w:sz w:val="21"/>
          <w:szCs w:val="21"/>
        </w:rPr>
        <w:t xml:space="preserve">. Nothing here was fixed silently; each item states which earlier task it repeats, if any. Full symptom and root cause for each is in that document.</w:t>
      </w:r>
    </w:p>
    <w:p>
      <w:pPr>
        <w:pStyle w:val="Heading2"/>
        <w:spacing w:after="100" w:before="240"/>
      </w:pPr>
      <w:r>
        <w:rPr>
          <w:b/>
          <w:bCs/>
          <w:color w:val="1A1A1A"/>
          <w:sz w:val="23"/>
          <w:szCs w:val="23"/>
        </w:rPr>
        <w:t xml:space="preserve">4.1  Start here</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900"/>
        <w:gridCol w:w="5300"/>
        <w:gridCol w:w="3160"/>
      </w:tblGrid>
      <w:tr>
        <w:trPr>
          <w:tblHeader/>
        </w:trPr>
        <w:tc>
          <w:tcPr>
            <w:tcW w:type="dxa" w:w="900"/>
            <w:shd w:fill="EDEDED" w:color="auto" w:val="clear"/>
            <w:tcMar>
              <w:top w:type="dxa" w:w="90"/>
              <w:left w:type="dxa" w:w="130"/>
              <w:bottom w:type="dxa" w:w="90"/>
              <w:right w:type="dxa" w:w="130"/>
            </w:tcMar>
          </w:tcPr>
          <w:p>
            <w:pPr>
              <w:spacing w:after="0" w:line="250"/>
            </w:pPr>
            <w:r>
              <w:rPr>
                <w:b/>
                <w:bCs/>
                <w:color w:val="1A1A1A"/>
                <w:sz w:val="19"/>
                <w:szCs w:val="19"/>
              </w:rPr>
              <w:t xml:space="preserve">#</w:t>
            </w:r>
          </w:p>
        </w:tc>
        <w:tc>
          <w:tcPr>
            <w:tcW w:type="dxa" w:w="5300"/>
            <w:shd w:fill="EDEDED" w:color="auto" w:val="clear"/>
            <w:tcMar>
              <w:top w:type="dxa" w:w="90"/>
              <w:left w:type="dxa" w:w="130"/>
              <w:bottom w:type="dxa" w:w="90"/>
              <w:right w:type="dxa" w:w="130"/>
            </w:tcMar>
          </w:tcPr>
          <w:p>
            <w:pPr>
              <w:spacing w:after="0" w:line="250"/>
            </w:pPr>
            <w:r>
              <w:rPr>
                <w:b/>
                <w:bCs/>
                <w:color w:val="1A1A1A"/>
                <w:sz w:val="19"/>
                <w:szCs w:val="19"/>
              </w:rPr>
              <w:t xml:space="preserve">Item</w:t>
            </w:r>
          </w:p>
        </w:tc>
        <w:tc>
          <w:tcPr>
            <w:tcW w:type="dxa" w:w="3160"/>
            <w:shd w:fill="EDEDED" w:color="auto" w:val="clear"/>
            <w:tcMar>
              <w:top w:type="dxa" w:w="90"/>
              <w:left w:type="dxa" w:w="130"/>
              <w:bottom w:type="dxa" w:w="90"/>
              <w:right w:type="dxa" w:w="130"/>
            </w:tcMar>
          </w:tcPr>
          <w:p>
            <w:pPr>
              <w:spacing w:after="0" w:line="250"/>
            </w:pPr>
            <w:r>
              <w:rPr>
                <w:b/>
                <w:bCs/>
                <w:color w:val="1A1A1A"/>
                <w:sz w:val="19"/>
                <w:szCs w:val="19"/>
              </w:rPr>
              <w:t xml:space="preserve">Why first</w:t>
            </w:r>
          </w:p>
        </w:tc>
      </w:tr>
      <w:tr>
        <w:tc>
          <w:tcPr>
            <w:tcW w:type="dxa" w:w="900"/>
            <w:shd w:fill="F7E4E4" w:color="auto" w:val="clear"/>
            <w:tcMar>
              <w:top w:type="dxa" w:w="90"/>
              <w:left w:type="dxa" w:w="130"/>
              <w:bottom w:type="dxa" w:w="90"/>
              <w:right w:type="dxa" w:w="130"/>
            </w:tcMar>
          </w:tcPr>
          <w:p>
            <w:pPr>
              <w:spacing w:after="0" w:line="250"/>
            </w:pPr>
            <w:r>
              <w:rPr>
                <w:b/>
                <w:bCs/>
                <w:color w:val="1A1A1A"/>
                <w:sz w:val="19"/>
                <w:szCs w:val="19"/>
              </w:rPr>
              <w:t xml:space="preserve">S1</w:t>
            </w:r>
          </w:p>
        </w:tc>
        <w:tc>
          <w:tcPr>
            <w:tcW w:type="dxa" w:w="530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players.throws is overwritten with an empty string by the game-feed player upsert, and the conflict clause is unconditional. Any call whose payload lacks pitchHand destroys a known handedness.</w:t>
            </w:r>
          </w:p>
        </w:tc>
        <w:tc>
          <w:tcPr>
            <w:tcW w:type="dxa" w:w="3160"/>
            <w:shd w:fill="F7E4E4" w:color="auto" w:val="clear"/>
            <w:tcMar>
              <w:top w:type="dxa" w:w="90"/>
              <w:left w:type="dxa" w:w="130"/>
              <w:bottom w:type="dxa" w:w="90"/>
              <w:right w:type="dxa" w:w="130"/>
            </w:tcMar>
          </w:tcPr>
          <w:p>
            <w:pPr>
              <w:spacing w:after="0" w:line="250"/>
            </w:pPr>
            <w:r>
              <w:rPr>
                <w:b w:val="false"/>
                <w:bCs w:val="false"/>
                <w:color w:val="1A1A1A"/>
                <w:sz w:val="19"/>
                <w:szCs w:val="19"/>
              </w:rPr>
              <w:t xml:space="preserve">BLOCKER. It silently collapses the platoon and split-metric layer in every engine to unsplit season values. Everything Phase 4 added sits on top of a layer that may not be running.</w:t>
            </w:r>
          </w:p>
        </w:tc>
      </w:tr>
    </w:tbl>
    <w:p>
      <w:pPr>
        <w:spacing w:after="120" w:line="264"/>
      </w:pPr>
      <w:r>
        <w:rPr>
          <w:color w:val="1A1A1A"/>
          <w:sz w:val="21"/>
          <w:szCs w:val="21"/>
        </w:rPr>
        <w:t xml:space="preserve"/>
      </w:r>
    </w:p>
    <w:p>
      <w:pPr>
        <w:spacing w:after="120" w:line="264"/>
      </w:pPr>
      <w:r>
        <w:rPr>
          <w:color w:val="1A1A1A"/>
          <w:sz w:val="21"/>
          <w:szCs w:val="21"/>
        </w:rPr>
        <w:t xml:space="preserve">Four parts, in order:</w:t>
      </w:r>
    </w:p>
    <w:p>
      <w:pPr>
        <w:pStyle w:val="ListParagraph"/>
        <w:numPr>
          <w:ilvl w:val="0"/>
          <w:numId w:val="3"/>
        </w:numPr>
        <w:spacing w:after="100" w:line="264"/>
      </w:pPr>
      <w:r>
        <w:rPr>
          <w:color w:val="1A1A1A"/>
          <w:sz w:val="21"/>
          <w:szCs w:val="21"/>
        </w:rPr>
        <w:t xml:space="preserve">Apply the same non-empty guard bullpen-foundation already uses for reliever_profiles, to both bats and throws, in both player upserts.</w:t>
      </w:r>
    </w:p>
    <w:p>
      <w:pPr>
        <w:pStyle w:val="ListParagraph"/>
        <w:numPr>
          <w:ilvl w:val="0"/>
          <w:numId w:val="3"/>
        </w:numPr>
        <w:spacing w:after="100" w:line="264"/>
      </w:pPr>
      <w:r>
        <w:rPr>
          <w:color w:val="1A1A1A"/>
          <w:sz w:val="21"/>
          <w:szCs w:val="21"/>
        </w:rPr>
        <w:t xml:space="preserve">Write NULL rather than an empty string when the field is absent, so unknown is a distinguishable value.</w:t>
      </w:r>
    </w:p>
    <w:p>
      <w:pPr>
        <w:pStyle w:val="ListParagraph"/>
        <w:numPr>
          <w:ilvl w:val="0"/>
          <w:numId w:val="3"/>
        </w:numPr>
        <w:spacing w:after="100" w:line="264"/>
      </w:pPr>
      <w:r>
        <w:rPr>
          <w:color w:val="1A1A1A"/>
          <w:sz w:val="21"/>
          <w:szCs w:val="21"/>
        </w:rPr>
        <w:t xml:space="preserve">Add a data-health counter: how many players in today's lineups have a null or empty throws. This is the population rate the plan asked for and it cannot be answered from code alone.</w:t>
      </w:r>
    </w:p>
    <w:p>
      <w:pPr>
        <w:pStyle w:val="ListParagraph"/>
        <w:numPr>
          <w:ilvl w:val="0"/>
          <w:numId w:val="3"/>
        </w:numPr>
        <w:spacing w:after="100" w:line="264"/>
      </w:pPr>
      <w:r>
        <w:rPr>
          <w:color w:val="1A1A1A"/>
          <w:sz w:val="21"/>
          <w:szCs w:val="21"/>
        </w:rPr>
        <w:t xml:space="preserve">Backfill: re-hydrate handedness for every player currently carrying an empty value.</w:t>
      </w:r>
    </w:p>
    <w:p>
      <w:pPr>
        <w:pStyle w:val="Heading2"/>
        <w:spacing w:after="100" w:before="240"/>
      </w:pPr>
      <w:r>
        <w:rPr>
          <w:b/>
          <w:bCs/>
          <w:color w:val="1A1A1A"/>
          <w:sz w:val="23"/>
          <w:szCs w:val="23"/>
        </w:rPr>
        <w:t xml:space="preserve">4.2  High severity</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900"/>
        <w:gridCol w:w="5300"/>
        <w:gridCol w:w="1700"/>
        <w:gridCol w:w="1460"/>
      </w:tblGrid>
      <w:tr>
        <w:trPr>
          <w:tblHeader/>
        </w:trPr>
        <w:tc>
          <w:tcPr>
            <w:tcW w:type="dxa" w:w="900"/>
            <w:shd w:fill="EDEDED" w:color="auto" w:val="clear"/>
            <w:tcMar>
              <w:top w:type="dxa" w:w="90"/>
              <w:left w:type="dxa" w:w="130"/>
              <w:bottom w:type="dxa" w:w="90"/>
              <w:right w:type="dxa" w:w="130"/>
            </w:tcMar>
          </w:tcPr>
          <w:p>
            <w:pPr>
              <w:spacing w:after="0" w:line="250"/>
            </w:pPr>
            <w:r>
              <w:rPr>
                <w:b/>
                <w:bCs/>
                <w:color w:val="1A1A1A"/>
                <w:sz w:val="19"/>
                <w:szCs w:val="19"/>
              </w:rPr>
              <w:t xml:space="preserve">#</w:t>
            </w:r>
          </w:p>
        </w:tc>
        <w:tc>
          <w:tcPr>
            <w:tcW w:type="dxa" w:w="5300"/>
            <w:shd w:fill="EDEDED" w:color="auto" w:val="clear"/>
            <w:tcMar>
              <w:top w:type="dxa" w:w="90"/>
              <w:left w:type="dxa" w:w="130"/>
              <w:bottom w:type="dxa" w:w="90"/>
              <w:right w:type="dxa" w:w="130"/>
            </w:tcMar>
          </w:tcPr>
          <w:p>
            <w:pPr>
              <w:spacing w:after="0" w:line="250"/>
            </w:pPr>
            <w:r>
              <w:rPr>
                <w:b/>
                <w:bCs/>
                <w:color w:val="1A1A1A"/>
                <w:sz w:val="19"/>
                <w:szCs w:val="19"/>
              </w:rPr>
              <w:t xml:space="preserve">Item</w:t>
            </w:r>
          </w:p>
        </w:tc>
        <w:tc>
          <w:tcPr>
            <w:tcW w:type="dxa" w:w="1700"/>
            <w:shd w:fill="EDEDED" w:color="auto" w:val="clear"/>
            <w:tcMar>
              <w:top w:type="dxa" w:w="90"/>
              <w:left w:type="dxa" w:w="130"/>
              <w:bottom w:type="dxa" w:w="90"/>
              <w:right w:type="dxa" w:w="130"/>
            </w:tcMar>
          </w:tcPr>
          <w:p>
            <w:pPr>
              <w:spacing w:after="0" w:line="250"/>
            </w:pPr>
            <w:r>
              <w:rPr>
                <w:b/>
                <w:bCs/>
                <w:color w:val="1A1A1A"/>
                <w:sz w:val="19"/>
                <w:szCs w:val="19"/>
              </w:rPr>
              <w:t xml:space="preserve">Repeats</w:t>
            </w:r>
          </w:p>
        </w:tc>
        <w:tc>
          <w:tcPr>
            <w:tcW w:type="dxa" w:w="1460"/>
            <w:shd w:fill="EDEDED" w:color="auto" w:val="clear"/>
            <w:tcMar>
              <w:top w:type="dxa" w:w="90"/>
              <w:left w:type="dxa" w:w="130"/>
              <w:bottom w:type="dxa" w:w="90"/>
              <w:right w:type="dxa" w:w="130"/>
            </w:tcMar>
          </w:tcPr>
          <w:p>
            <w:pPr>
              <w:spacing w:after="0" w:line="250"/>
            </w:pPr>
            <w:r>
              <w:rPr>
                <w:b/>
                <w:bCs/>
                <w:color w:val="1A1A1A"/>
                <w:sz w:val="19"/>
                <w:szCs w:val="19"/>
              </w:rPr>
              <w:t xml:space="preserve">Severity</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S2</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Live web search snippets are interpolated into the chat prompt with no delimiter and no marking. Wrap tool output as untrusted content and state in the system prompt that nothing inside it is an instruction.</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S3</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bettor-intelligence never calls assertNoBettingData, on the one surface whose purpose is accepting content from outside the system.</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S4</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SELECTION: xbh-engine still carries the exact context-only park note and reads no park feature in scoring. Needs its own composite, weighted toward doubles rather than singles.</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task 4.1</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S5</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research-foundation has two bare catch blocks and 22 unconditional SUCCESS writes.</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task 3.5</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S6</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Decide whether the AI tool and chat routes need an approved operator session. See Section 2.2.</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S11</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feature-store cannot distinguish a metric recorded as NULL from one never collected. Both reach the model as missing.</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task 1.6</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9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S12</w:t>
            </w:r>
          </w:p>
        </w:tc>
        <w:tc>
          <w:tcPr>
            <w:tcW w:type="dxa" w:w="53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Emit a PLATOON_SIDE_UNRESOLVED disclosure whenever resolveBatterSide returns null, so a degraded evaluation is visible. Pairs with S1.</w:t>
            </w:r>
          </w:p>
        </w:tc>
        <w:tc>
          <w:tcPr>
            <w:tcW w:type="dxa" w:w="170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shd w:fill="FAF0E2" w:color="auto" w:val="clear"/>
            <w:tcMar>
              <w:top w:type="dxa" w:w="90"/>
              <w:left w:type="dxa" w:w="130"/>
              <w:bottom w:type="dxa" w:w="90"/>
              <w:right w:type="dxa" w:w="130"/>
            </w:tcMar>
          </w:tcPr>
          <w:p>
            <w:pPr>
              <w:spacing w:after="0" w:line="250"/>
            </w:pPr>
            <w:r>
              <w:rPr>
                <w:b w:val="false"/>
                <w:bCs w:val="false"/>
                <w:color w:val="1A1A1A"/>
                <w:sz w:val="19"/>
                <w:szCs w:val="19"/>
              </w:rPr>
              <w:t xml:space="preserve">HIGH</w:t>
            </w:r>
          </w:p>
        </w:tc>
      </w:tr>
    </w:tbl>
    <w:p>
      <w:pPr>
        <w:spacing w:after="120" w:line="264"/>
      </w:pPr>
      <w:r>
        <w:rPr>
          <w:color w:val="1A1A1A"/>
          <w:sz w:val="21"/>
          <w:szCs w:val="21"/>
        </w:rPr>
        <w:t xml:space="preserve"/>
      </w:r>
    </w:p>
    <w:p>
      <w:pPr>
        <w:pStyle w:val="Heading2"/>
        <w:spacing w:after="100" w:before="240"/>
      </w:pPr>
      <w:r>
        <w:rPr>
          <w:b/>
          <w:bCs/>
          <w:color w:val="1A1A1A"/>
          <w:sz w:val="23"/>
          <w:szCs w:val="23"/>
        </w:rPr>
        <w:t xml:space="preserve">4.3  Medium and low</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900"/>
        <w:gridCol w:w="5300"/>
        <w:gridCol w:w="1700"/>
        <w:gridCol w:w="1460"/>
      </w:tblGrid>
      <w:tr>
        <w:trPr>
          <w:tblHeader/>
        </w:trPr>
        <w:tc>
          <w:tcPr>
            <w:tcW w:type="dxa" w:w="900"/>
            <w:shd w:fill="EDEDED" w:color="auto" w:val="clear"/>
            <w:tcMar>
              <w:top w:type="dxa" w:w="90"/>
              <w:left w:type="dxa" w:w="130"/>
              <w:bottom w:type="dxa" w:w="90"/>
              <w:right w:type="dxa" w:w="130"/>
            </w:tcMar>
          </w:tcPr>
          <w:p>
            <w:pPr>
              <w:spacing w:after="0" w:line="250"/>
            </w:pPr>
            <w:r>
              <w:rPr>
                <w:b/>
                <w:bCs/>
                <w:color w:val="1A1A1A"/>
                <w:sz w:val="19"/>
                <w:szCs w:val="19"/>
              </w:rPr>
              <w:t xml:space="preserve">#</w:t>
            </w:r>
          </w:p>
        </w:tc>
        <w:tc>
          <w:tcPr>
            <w:tcW w:type="dxa" w:w="5300"/>
            <w:shd w:fill="EDEDED" w:color="auto" w:val="clear"/>
            <w:tcMar>
              <w:top w:type="dxa" w:w="90"/>
              <w:left w:type="dxa" w:w="130"/>
              <w:bottom w:type="dxa" w:w="90"/>
              <w:right w:type="dxa" w:w="130"/>
            </w:tcMar>
          </w:tcPr>
          <w:p>
            <w:pPr>
              <w:spacing w:after="0" w:line="250"/>
            </w:pPr>
            <w:r>
              <w:rPr>
                <w:b/>
                <w:bCs/>
                <w:color w:val="1A1A1A"/>
                <w:sz w:val="19"/>
                <w:szCs w:val="19"/>
              </w:rPr>
              <w:t xml:space="preserve">Item</w:t>
            </w:r>
          </w:p>
        </w:tc>
        <w:tc>
          <w:tcPr>
            <w:tcW w:type="dxa" w:w="1700"/>
            <w:shd w:fill="EDEDED" w:color="auto" w:val="clear"/>
            <w:tcMar>
              <w:top w:type="dxa" w:w="90"/>
              <w:left w:type="dxa" w:w="130"/>
              <w:bottom w:type="dxa" w:w="90"/>
              <w:right w:type="dxa" w:w="130"/>
            </w:tcMar>
          </w:tcPr>
          <w:p>
            <w:pPr>
              <w:spacing w:after="0" w:line="250"/>
            </w:pPr>
            <w:r>
              <w:rPr>
                <w:b/>
                <w:bCs/>
                <w:color w:val="1A1A1A"/>
                <w:sz w:val="19"/>
                <w:szCs w:val="19"/>
              </w:rPr>
              <w:t xml:space="preserve">Repeats</w:t>
            </w:r>
          </w:p>
        </w:tc>
        <w:tc>
          <w:tcPr>
            <w:tcW w:type="dxa" w:w="1460"/>
            <w:shd w:fill="EDEDED" w:color="auto" w:val="clear"/>
            <w:tcMar>
              <w:top w:type="dxa" w:w="90"/>
              <w:left w:type="dxa" w:w="130"/>
              <w:bottom w:type="dxa" w:w="90"/>
              <w:right w:type="dxa" w:w="130"/>
            </w:tcMar>
          </w:tcPr>
          <w:p>
            <w:pPr>
              <w:spacing w:after="0" w:line="250"/>
            </w:pPr>
            <w:r>
              <w:rPr>
                <w:b/>
                <w:bCs/>
                <w:color w:val="1A1A1A"/>
                <w:sz w:val="19"/>
                <w:szCs w:val="19"/>
              </w:rPr>
              <w:t xml:space="preserve">Severity</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S7</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SELECTION: hr-engine resolves barrel_percent and hard_hit_percent split for the pitcher and unsplit for the hitter, in the same pass. walk-engine diverges on zone_percent.</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task 2.5</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S8</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SELECTION: hr-engine park uses the raw unsplit HR factor. Correct base metric, wrong resolution.</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task 4.1</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S9</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Expected plate appearances in walk, xbh and hr engines. The shared table is already exported from tb-engine.</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task 4.3</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S10</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N+1 batching for walk, xbh, hr, research-foundation and bettor-intelligence.</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tasks 2.6, 5.3</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S13</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State whether provenance is part of a feature snapshot's identity. Currently the second capture's lineage is dropped and a reader cannot tell if that is deliberate.</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S14</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Split App.tsx by page. Same accretion that produced analyst.ts, without the ordering hazard.</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task 5.2</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S15</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assertNoBettingData on the export boundary. Cheap now, expensive the day someone adds a field.</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LOW</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S16</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Cache eviction sorts the whole map on every insert at capacity. Per-process scope needs stating before a second replica exists.</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LOW</w:t>
            </w:r>
          </w:p>
        </w:tc>
      </w:tr>
      <w:tr>
        <w:tc>
          <w:tcPr>
            <w:tcW w:type="dxa" w:w="900"/>
            <w:tcMar>
              <w:top w:type="dxa" w:w="90"/>
              <w:left w:type="dxa" w:w="130"/>
              <w:bottom w:type="dxa" w:w="90"/>
              <w:right w:type="dxa" w:w="130"/>
            </w:tcMar>
          </w:tcPr>
          <w:p>
            <w:pPr>
              <w:spacing w:after="0" w:line="250"/>
            </w:pPr>
            <w:r>
              <w:rPr>
                <w:b w:val="false"/>
                <w:bCs w:val="false"/>
                <w:color w:val="1A1A1A"/>
                <w:sz w:val="19"/>
                <w:szCs w:val="19"/>
              </w:rPr>
              <w:t xml:space="preserve">S17</w:t>
            </w:r>
          </w:p>
        </w:tc>
        <w:tc>
          <w:tcPr>
            <w:tcW w:type="dxa" w:w="5300"/>
            <w:tcMar>
              <w:top w:type="dxa" w:w="90"/>
              <w:left w:type="dxa" w:w="130"/>
              <w:bottom w:type="dxa" w:w="90"/>
              <w:right w:type="dxa" w:w="130"/>
            </w:tcMar>
          </w:tcPr>
          <w:p>
            <w:pPr>
              <w:spacing w:after="0" w:line="250"/>
            </w:pPr>
            <w:r>
              <w:rPr>
                <w:b w:val="false"/>
                <w:bCs w:val="false"/>
                <w:color w:val="1A1A1A"/>
                <w:sz w:val="19"/>
                <w:szCs w:val="19"/>
              </w:rPr>
              <w:t xml:space="preserve">Audit event filters, derived BvP coverage status, logged rollback failures.</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new</w:t>
            </w:r>
          </w:p>
        </w:tc>
        <w:tc>
          <w:tcPr>
            <w:tcW w:type="dxa" w:w="1460"/>
            <w:tcMar>
              <w:top w:type="dxa" w:w="90"/>
              <w:left w:type="dxa" w:w="130"/>
              <w:bottom w:type="dxa" w:w="90"/>
              <w:right w:type="dxa" w:w="130"/>
            </w:tcMar>
          </w:tcPr>
          <w:p>
            <w:pPr>
              <w:spacing w:after="0" w:line="250"/>
            </w:pPr>
            <w:r>
              <w:rPr>
                <w:b w:val="false"/>
                <w:bCs w:val="false"/>
                <w:color w:val="1A1A1A"/>
                <w:sz w:val="19"/>
                <w:szCs w:val="19"/>
              </w:rPr>
              <w:t xml:space="preserve">LOW</w:t>
            </w:r>
          </w:p>
        </w:tc>
      </w:tr>
    </w:tbl>
    <w:p>
      <w:pPr>
        <w:spacing w:after="120" w:line="264"/>
      </w:pPr>
      <w:r>
        <w:rPr>
          <w:color w:val="1A1A1A"/>
          <w:sz w:val="21"/>
          <w:szCs w:val="21"/>
        </w:rPr>
        <w:t xml:space="preserve"/>
      </w:r>
    </w:p>
    <w:p>
      <w:pPr>
        <w:spacing w:after="120" w:line="264"/>
      </w:pPr>
      <w:r>
        <w:rPr>
          <w:i/>
          <w:iCs/>
          <w:color w:val="5A5A5A"/>
          <w:sz w:val="19"/>
          <w:szCs w:val="19"/>
        </w:rPr>
        <w:t xml:space="preserve">One finding is worth repeating because it is positive: the frontend has been presenting the null model layer honestly for its entire life. The readiness contract renders on every page, Usable now shows zero with an audit-only note, and the empty state explains that evidence is never converted into probability without a current validation contract. The defect was underneath the interface, not in it.</w:t>
      </w:r>
    </w:p>
    <w:p>
      <w:r>
        <w:br w:type="page"/>
      </w:r>
    </w:p>
    <w:p>
      <w:pPr>
        <w:pStyle w:val="Heading1"/>
        <w:pBdr>
          <w:bottom w:val="single" w:color="C8C8C8" w:sz="6" w:space="6"/>
        </w:pBdr>
        <w:spacing w:after="140" w:before="340"/>
      </w:pPr>
      <w:r>
        <w:rPr>
          <w:b/>
          <w:bCs/>
          <w:color w:val="1A1A1A"/>
          <w:sz w:val="28"/>
          <w:szCs w:val="28"/>
        </w:rPr>
        <w:t xml:space="preserve">5. A suggested order for the next session</w:t>
      </w:r>
    </w:p>
    <w:p>
      <w:pPr>
        <w:pStyle w:val="ListParagraph"/>
        <w:numPr>
          <w:ilvl w:val="0"/>
          <w:numId w:val="3"/>
        </w:numPr>
        <w:spacing w:after="100" w:line="264"/>
      </w:pPr>
      <w:r>
        <w:rPr>
          <w:b w:val="false"/>
          <w:bCs w:val="false"/>
          <w:color w:val="1A1A1A"/>
          <w:sz w:val="21"/>
          <w:szCs w:val="21"/>
        </w:rPr>
        <w:t xml:space="preserve">Back up the database. Then Section 1 end to end: migrate, retrain, validate, promote if anything passes, refresh the board, record the row count by confidence_basis.</w:t>
      </w:r>
    </w:p>
    <w:p>
      <w:pPr>
        <w:pStyle w:val="ListParagraph"/>
        <w:numPr>
          <w:ilvl w:val="0"/>
          <w:numId w:val="3"/>
        </w:numPr>
        <w:spacing w:after="100" w:line="264"/>
      </w:pPr>
      <w:r>
        <w:rPr>
          <w:color w:val="1A1A1A"/>
          <w:sz w:val="21"/>
          <w:szCs w:val="21"/>
        </w:rPr>
        <w:t xml:space="preserve">Answer the walk definition question. If the answer changes the policy, flip the two flags and re-grade; the components are already persisted for it.</w:t>
      </w:r>
    </w:p>
    <w:p>
      <w:pPr>
        <w:pStyle w:val="ListParagraph"/>
        <w:numPr>
          <w:ilvl w:val="0"/>
          <w:numId w:val="3"/>
        </w:numPr>
        <w:spacing w:after="100" w:line="264"/>
      </w:pPr>
      <w:r>
        <w:rPr>
          <w:color w:val="1A1A1A"/>
          <w:sz w:val="21"/>
          <w:szCs w:val="21"/>
        </w:rPr>
        <w:t xml:space="preserve">S1, all four parts. It is the one BLOCKER and it undermines Phase 4 while it stands.</w:t>
      </w:r>
    </w:p>
    <w:p>
      <w:pPr>
        <w:pStyle w:val="ListParagraph"/>
        <w:numPr>
          <w:ilvl w:val="0"/>
          <w:numId w:val="3"/>
        </w:numPr>
        <w:spacing w:after="100" w:line="264"/>
      </w:pPr>
      <w:r>
        <w:rPr>
          <w:color w:val="1A1A1A"/>
          <w:sz w:val="21"/>
          <w:szCs w:val="21"/>
        </w:rPr>
        <w:t xml:space="preserve">S12 alongside it, since the disclosure is only useful once S1 makes the underlying value trustworthy.</w:t>
      </w:r>
    </w:p>
    <w:p>
      <w:pPr>
        <w:pStyle w:val="ListParagraph"/>
        <w:numPr>
          <w:ilvl w:val="0"/>
          <w:numId w:val="3"/>
        </w:numPr>
        <w:spacing w:after="100" w:line="264"/>
      </w:pPr>
      <w:r>
        <w:rPr>
          <w:color w:val="1A1A1A"/>
          <w:sz w:val="21"/>
          <w:szCs w:val="21"/>
        </w:rPr>
        <w:t xml:space="preserve">Capture the four owed measurements while a real slate is in front of you. They are cheap at that moment and expensive to reconstruct later.</w:t>
      </w:r>
    </w:p>
    <w:p>
      <w:pPr>
        <w:pStyle w:val="ListParagraph"/>
        <w:numPr>
          <w:ilvl w:val="0"/>
          <w:numId w:val="3"/>
        </w:numPr>
        <w:spacing w:after="100" w:line="264"/>
      </w:pPr>
      <w:r>
        <w:rPr>
          <w:color w:val="1A1A1A"/>
          <w:sz w:val="21"/>
          <w:szCs w:val="21"/>
        </w:rPr>
        <w:t xml:space="preserve">S2, S3 and S6 as one security-shaped pass over the AI and bettor surfaces.</w:t>
      </w:r>
    </w:p>
    <w:p>
      <w:pPr>
        <w:pStyle w:val="ListParagraph"/>
        <w:numPr>
          <w:ilvl w:val="0"/>
          <w:numId w:val="3"/>
        </w:numPr>
        <w:spacing w:after="100" w:line="264"/>
      </w:pPr>
      <w:r>
        <w:rPr>
          <w:color w:val="1A1A1A"/>
          <w:sz w:val="21"/>
          <w:szCs w:val="21"/>
        </w:rPr>
        <w:t xml:space="preserve">S4 and S8, the two remaining park exclusions, as one SELECTION change with the before-and-after rank correlation recorded.</w:t>
      </w:r>
    </w:p>
    <w:p>
      <w:pPr>
        <w:pStyle w:val="ListParagraph"/>
        <w:numPr>
          <w:ilvl w:val="0"/>
          <w:numId w:val="3"/>
        </w:numPr>
        <w:spacing w:after="100" w:line="264"/>
      </w:pPr>
      <w:r>
        <w:rPr>
          <w:color w:val="1A1A1A"/>
          <w:sz w:val="21"/>
          <w:szCs w:val="21"/>
        </w:rPr>
        <w:t xml:space="preserve">The rest of the MEDIUM items as capacity allows. S14 last: it is real but it blocks nothing.</w:t>
      </w:r>
    </w:p>
    <w:p>
      <w:pPr>
        <w:pStyle w:val="Heading1"/>
        <w:pBdr>
          <w:bottom w:val="single" w:color="C8C8C8" w:sz="6" w:space="6"/>
        </w:pBdr>
        <w:spacing w:after="140" w:before="340"/>
      </w:pPr>
      <w:r>
        <w:rPr>
          <w:b/>
          <w:bCs/>
          <w:color w:val="1A1A1A"/>
          <w:sz w:val="28"/>
          <w:szCs w:val="28"/>
        </w:rPr>
        <w:t xml:space="preserve">6. Working notes</w:t>
      </w:r>
    </w:p>
    <w:p>
      <w:pPr>
        <w:pStyle w:val="Heading2"/>
        <w:spacing w:after="100" w:before="240"/>
      </w:pPr>
      <w:r>
        <w:rPr>
          <w:b/>
          <w:bCs/>
          <w:color w:val="1A1A1A"/>
          <w:sz w:val="23"/>
          <w:szCs w:val="23"/>
        </w:rPr>
        <w:t xml:space="preserve">6.1  The branch</w:t>
      </w:r>
    </w:p>
    <w:p>
      <w:pPr>
        <w:spacing w:after="120" w:line="264"/>
      </w:pPr>
      <w:r>
        <w:rPr>
          <w:color w:val="1A1A1A"/>
          <w:sz w:val="21"/>
          <w:szCs w:val="21"/>
        </w:rPr>
        <w:t xml:space="preserve">PR #1 is merged, so </w:t>
      </w:r>
      <w:r>
        <w:rPr>
          <w:rFonts w:ascii="Consolas" w:cs="Consolas" w:eastAsia="Consolas" w:hAnsi="Consolas"/>
          <w:color w:val="1A1A1A"/>
          <w:sz w:val="21"/>
          <w:szCs w:val="21"/>
        </w:rPr>
        <w:t xml:space="preserve">claude/new-session-t0opa4</w:t>
      </w:r>
      <w:r>
        <w:rPr>
          <w:color w:val="1A1A1A"/>
          <w:sz w:val="21"/>
          <w:szCs w:val="21"/>
        </w:rPr>
        <w:t xml:space="preserve"> cannot carry follow-up work. Restart it from the updated main and open a new PR:</w:t>
      </w:r>
    </w:p>
    <w:p>
      <w:pPr>
        <w:spacing w:after="160" w:line="264"/>
      </w:pPr>
      <w:r>
        <w:rPr>
          <w:rFonts w:ascii="Consolas" w:cs="Consolas" w:eastAsia="Consolas" w:hAnsi="Consolas"/>
          <w:color w:val="1A1A1A"/>
          <w:sz w:val="19"/>
          <w:szCs w:val="19"/>
        </w:rPr>
        <w:t xml:space="preserve">git fetch origin main &amp;&amp; git checkout -B claude/new-session-t0opa4 origin/main</w:t>
      </w:r>
    </w:p>
    <w:p>
      <w:pPr>
        <w:pStyle w:val="Heading2"/>
        <w:spacing w:after="100" w:before="240"/>
      </w:pPr>
      <w:r>
        <w:rPr>
          <w:b/>
          <w:bCs/>
          <w:color w:val="1A1A1A"/>
          <w:sz w:val="23"/>
          <w:szCs w:val="23"/>
        </w:rPr>
        <w:t xml:space="preserve">6.2  Commands</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3900"/>
        <w:gridCol w:w="5460"/>
      </w:tblGrid>
      <w:tr>
        <w:trPr>
          <w:tblHeader/>
        </w:trPr>
        <w:tc>
          <w:tcPr>
            <w:tcW w:type="dxa" w:w="3900"/>
            <w:shd w:fill="EDEDED" w:color="auto" w:val="clear"/>
            <w:tcMar>
              <w:top w:type="dxa" w:w="90"/>
              <w:left w:type="dxa" w:w="130"/>
              <w:bottom w:type="dxa" w:w="90"/>
              <w:right w:type="dxa" w:w="130"/>
            </w:tcMar>
          </w:tcPr>
          <w:p>
            <w:pPr>
              <w:spacing w:after="0" w:line="250"/>
            </w:pPr>
            <w:r>
              <w:rPr>
                <w:b/>
                <w:bCs/>
                <w:color w:val="1A1A1A"/>
                <w:sz w:val="19"/>
                <w:szCs w:val="19"/>
              </w:rPr>
              <w:t xml:space="preserve">Command</w:t>
            </w:r>
          </w:p>
        </w:tc>
        <w:tc>
          <w:tcPr>
            <w:tcW w:type="dxa" w:w="5460"/>
            <w:shd w:fill="EDEDED" w:color="auto" w:val="clear"/>
            <w:tcMar>
              <w:top w:type="dxa" w:w="90"/>
              <w:left w:type="dxa" w:w="130"/>
              <w:bottom w:type="dxa" w:w="90"/>
              <w:right w:type="dxa" w:w="130"/>
            </w:tcMar>
          </w:tcPr>
          <w:p>
            <w:pPr>
              <w:spacing w:after="0" w:line="250"/>
            </w:pPr>
            <w:r>
              <w:rPr>
                <w:b/>
                <w:bCs/>
                <w:color w:val="1A1A1A"/>
                <w:sz w:val="19"/>
                <w:szCs w:val="19"/>
              </w:rPr>
              <w:t xml:space="preserve">What it does</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pnpm run test:unit</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161 assertions, no database and no server needed. Run this before every commit.</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pnpm run typecheck</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All four projects.</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pnpm run test:all</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The full acceptance suite. Needs DATABASE_URL and a running server.</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pnpm --filter @workspace/db run push</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Pre-push migrations, schema push, immutability policy. In that order.</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pnpm --filter @workspace/api-spec run codegen</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After any openapi.yaml change. Contract-first: schema, spec, codegen, wire, typecheck.</w:t>
            </w:r>
          </w:p>
        </w:tc>
      </w:tr>
    </w:tbl>
    <w:p>
      <w:pPr>
        <w:spacing w:after="120" w:line="264"/>
      </w:pPr>
      <w:r>
        <w:rPr>
          <w:color w:val="1A1A1A"/>
          <w:sz w:val="21"/>
          <w:szCs w:val="21"/>
        </w:rPr>
        <w:t xml:space="preserve"/>
      </w:r>
    </w:p>
    <w:p>
      <w:pPr>
        <w:pStyle w:val="Heading2"/>
        <w:spacing w:after="100" w:before="240"/>
      </w:pPr>
      <w:r>
        <w:rPr>
          <w:b/>
          <w:bCs/>
          <w:color w:val="1A1A1A"/>
          <w:sz w:val="23"/>
          <w:szCs w:val="23"/>
        </w:rPr>
        <w:t xml:space="preserve">6.3  Where things are written down</w:t>
      </w:r>
    </w:p>
    <w:tbl>
      <w:tblPr>
        <w:tblW w:type="dxa" w:w="9360"/>
        <w:tblBorders>
          <w:top w:val="single" w:color="C8C8C8" w:sz="4"/>
          <w:left w:val="single" w:color="C8C8C8" w:sz="4"/>
          <w:bottom w:val="single" w:color="C8C8C8" w:sz="4"/>
          <w:right w:val="single" w:color="C8C8C8" w:sz="4"/>
          <w:insideH w:val="single" w:color="C8C8C8" w:sz="4"/>
          <w:insideV w:val="single" w:color="C8C8C8" w:sz="4"/>
        </w:tblBorders>
      </w:tblPr>
      <w:tblGrid>
        <w:gridCol w:w="3900"/>
        <w:gridCol w:w="5460"/>
      </w:tblGrid>
      <w:tr>
        <w:trPr>
          <w:tblHeader/>
        </w:trPr>
        <w:tc>
          <w:tcPr>
            <w:tcW w:type="dxa" w:w="3900"/>
            <w:shd w:fill="EDEDED" w:color="auto" w:val="clear"/>
            <w:tcMar>
              <w:top w:type="dxa" w:w="90"/>
              <w:left w:type="dxa" w:w="130"/>
              <w:bottom w:type="dxa" w:w="90"/>
              <w:right w:type="dxa" w:w="130"/>
            </w:tcMar>
          </w:tcPr>
          <w:p>
            <w:pPr>
              <w:spacing w:after="0" w:line="250"/>
            </w:pPr>
            <w:r>
              <w:rPr>
                <w:b/>
                <w:bCs/>
                <w:color w:val="1A1A1A"/>
                <w:sz w:val="19"/>
                <w:szCs w:val="19"/>
              </w:rPr>
              <w:t xml:space="preserve">File</w:t>
            </w:r>
          </w:p>
        </w:tc>
        <w:tc>
          <w:tcPr>
            <w:tcW w:type="dxa" w:w="5460"/>
            <w:shd w:fill="EDEDED" w:color="auto" w:val="clear"/>
            <w:tcMar>
              <w:top w:type="dxa" w:w="90"/>
              <w:left w:type="dxa" w:w="130"/>
              <w:bottom w:type="dxa" w:w="90"/>
              <w:right w:type="dxa" w:w="130"/>
            </w:tcMar>
          </w:tcPr>
          <w:p>
            <w:pPr>
              <w:spacing w:after="0" w:line="250"/>
            </w:pPr>
            <w:r>
              <w:rPr>
                <w:b/>
                <w:bCs/>
                <w:color w:val="1A1A1A"/>
                <w:sz w:val="19"/>
                <w:szCs w:val="19"/>
              </w:rPr>
              <w:t xml:space="preserve">Holds</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replit.md</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What the app does, the repo map, the hard rules, the append-only invariants, the model lifecycle, the gotchas. Written properly in Task 5.1; it was the scaffold template before.</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docs/audit-extension-2026-08-24.md</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Findings for every service the original audit did not read, plus the frontend. The seventeen S-items with symptom, root cause and required change.</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docs/repository-inventory.md</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The hygiene assessment and the recommendation on the working directories.</w:t>
            </w:r>
          </w:p>
        </w:tc>
      </w:tr>
      <w:tr>
        <w:tc>
          <w:tcPr>
            <w:tcW w:type="dxa" w:w="3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routes/analyst/ROUTE-INVENTORY.txt</w:t>
            </w:r>
          </w:p>
        </w:tc>
        <w:tc>
          <w:tcPr>
            <w:tcW w:type="dxa" w:w="5460"/>
            <w:tcMar>
              <w:top w:type="dxa" w:w="90"/>
              <w:left w:type="dxa" w:w="130"/>
              <w:bottom w:type="dxa" w:w="90"/>
              <w:right w:type="dxa" w:w="130"/>
            </w:tcMar>
          </w:tcPr>
          <w:p>
            <w:pPr>
              <w:spacing w:after="0" w:line="250"/>
            </w:pPr>
            <w:r>
              <w:rPr>
                <w:b w:val="false"/>
                <w:bCs w:val="false"/>
                <w:color w:val="1A1A1A"/>
                <w:sz w:val="19"/>
                <w:szCs w:val="19"/>
              </w:rPr>
              <w:t xml:space="preserve">The URL surface, pinned. A test diffs the registered routes against it, so any change to the surface has to be made there on purpose.</w:t>
            </w:r>
          </w:p>
        </w:tc>
      </w:tr>
    </w:tbl>
    <w:p>
      <w:pPr>
        <w:spacing w:after="120" w:line="264"/>
      </w:pPr>
      <w:r>
        <w:rPr>
          <w:color w:val="1A1A1A"/>
          <w:sz w:val="21"/>
          <w:szCs w:val="21"/>
        </w:rPr>
        <w:t xml:space="preserve"/>
      </w:r>
    </w:p>
    <w:p>
      <w:pPr>
        <w:pStyle w:val="Heading2"/>
        <w:spacing w:after="100" w:before="240"/>
      </w:pPr>
      <w:r>
        <w:rPr>
          <w:b/>
          <w:bCs/>
          <w:color w:val="1A1A1A"/>
          <w:sz w:val="23"/>
          <w:szCs w:val="23"/>
        </w:rPr>
        <w:t xml:space="preserve">6.4  Three rules that are easy to break</w:t>
      </w:r>
    </w:p>
    <w:p>
      <w:pPr>
        <w:pStyle w:val="ListParagraph"/>
        <w:numPr>
          <w:ilvl w:val="0"/>
          <w:numId w:val="2"/>
        </w:numPr>
        <w:spacing w:after="80" w:line="264"/>
      </w:pPr>
      <w:r>
        <w:rPr>
          <w:b/>
          <w:bCs/>
          <w:color w:val="1A1A1A"/>
          <w:sz w:val="21"/>
          <w:szCs w:val="21"/>
        </w:rPr>
        <w:t xml:space="preserve">Nothing writes ACTIVE except promoteModelVersion.</w:t>
      </w:r>
      <w:r>
        <w:rPr>
          <w:color w:val="1A1A1A"/>
          <w:sz w:val="21"/>
          <w:szCs w:val="21"/>
        </w:rPr>
        <w:t xml:space="preserve"> A test asserts that SET status = 'ACTIVE' appears in exactly one production file, and that orchestration never references the promotion function.</w:t>
      </w:r>
    </w:p>
    <w:p>
      <w:pPr>
        <w:pStyle w:val="ListParagraph"/>
        <w:numPr>
          <w:ilvl w:val="0"/>
          <w:numId w:val="2"/>
        </w:numPr>
        <w:spacing w:after="80" w:line="264"/>
      </w:pPr>
      <w:r>
        <w:rPr>
          <w:b/>
          <w:bCs/>
          <w:color w:val="1A1A1A"/>
          <w:sz w:val="21"/>
          <w:szCs w:val="21"/>
        </w:rPr>
        <w:t xml:space="preserve">Do not put disclosures in missing_stale_evidence.</w:t>
      </w:r>
      <w:r>
        <w:rPr>
          <w:color w:val="1A1A1A"/>
          <w:sz w:val="21"/>
          <w:szCs w:val="21"/>
        </w:rPr>
        <w:t xml:space="preserve"> Anything written there makes the candidate non-selectable. That field is a blocking gate; it is how the bullpen veto survived Task 2.2 through a back door.</w:t>
      </w:r>
    </w:p>
    <w:p>
      <w:pPr>
        <w:pStyle w:val="ListParagraph"/>
        <w:numPr>
          <w:ilvl w:val="0"/>
          <w:numId w:val="2"/>
        </w:numPr>
        <w:spacing w:after="80" w:line="264"/>
      </w:pPr>
      <w:r>
        <w:rPr>
          <w:b/>
          <w:bCs/>
          <w:color w:val="1A1A1A"/>
          <w:sz w:val="21"/>
          <w:szCs w:val="21"/>
        </w:rPr>
        <w:t xml:space="preserve">Do not add a cosmetic tiebreak to compareConstruction.</w:t>
      </w:r>
      <w:r>
        <w:rPr>
          <w:color w:val="1A1A1A"/>
          <w:sz w:val="21"/>
          <w:szCs w:val="21"/>
        </w:rPr>
        <w:t xml:space="preserve"> It would make the cross-side VALID_TIE unreachable and silently delete the surfaced-ties contract. The deterministic tiebreak lives in a separate within-side comparator for exactly this reason.</w:t>
      </w:r>
    </w:p>
    <w:p>
      <w:pPr>
        <w:pBdr>
          <w:top w:val="single" w:color="C8C8C8" w:sz="6" w:space="8"/>
        </w:pBdr>
        <w:spacing w:before="320"/>
      </w:pPr>
      <w:r>
        <w:rPr>
          <w:i/>
          <w:iCs/>
          <w:color w:val="5A5A5A"/>
          <w:sz w:val="17"/>
          <w:szCs w:val="17"/>
        </w:rPr>
        <w:t xml:space="preserve">Source: remediation plan of 2026-08-24, PR #1 (12 commits), and the extended audit. No odds, prices, expected value, implied probability, CLV, stake or vig appear anywhere in this work, and none should be added.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2026-08-24T21:38:27.987Z</dcterms:created>
  <dcterms:modified xsi:type="dcterms:W3CDTF">2026-08-24T21:38:27.987Z</dcterms:modified>
</cp:coreProperties>
</file>

<file path=docProps/custom.xml><?xml version="1.0" encoding="utf-8"?>
<Properties xmlns="http://schemas.openxmlformats.org/officeDocument/2006/custom-properties" xmlns:vt="http://schemas.openxmlformats.org/officeDocument/2006/docPropsVTypes"/>
</file>