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Arial" w:hAnsi="Arial" w:cs="Arial"/>
          <w:b/>
          <w:sz w:val="20"/>
        </w:rPr>
      </w:pPr>
      <w:r>
        <w:rPr>
          <w:rFonts w:ascii="Arial" w:hAnsi="Arial" w:cs="Arial"/>
          <w:b/>
          <w:sz w:val="20"/>
        </w:rPr>
        <w:t xml:space="preserve">INTI International College Penang </w:t>
      </w:r>
      <w:r>
        <w:rPr>
          <w:rFonts w:ascii="Arial" w:hAnsi="Arial" w:cs="Arial"/>
          <w:b/>
          <w:sz w:val="20"/>
        </w:rPr>
        <w:tab/>
      </w:r>
      <w:r>
        <w:rPr>
          <w:rFonts w:ascii="Arial" w:hAnsi="Arial" w:cs="Arial"/>
          <w:b/>
          <w:sz w:val="20"/>
        </w:rPr>
        <w:tab/>
      </w:r>
      <w:r>
        <w:rPr>
          <w:rFonts w:ascii="Arial" w:hAnsi="Arial" w:cs="Arial"/>
          <w:b/>
          <w:sz w:val="20"/>
        </w:rPr>
        <w:tab/>
      </w:r>
      <w:r>
        <w:rPr>
          <w:rFonts w:ascii="Arial" w:hAnsi="Arial" w:cs="Arial"/>
          <w:b/>
          <w:sz w:val="20"/>
        </w:rPr>
        <w:t xml:space="preserve">           School of Engineering and Technology</w:t>
      </w:r>
    </w:p>
    <w:p>
      <w:pPr>
        <w:jc w:val="both"/>
        <w:rPr>
          <w:rFonts w:ascii="Arial" w:hAnsi="Arial" w:cs="Arial"/>
          <w:b/>
          <w:sz w:val="20"/>
        </w:rPr>
      </w:pPr>
      <w:r>
        <w:rPr>
          <w:rFonts w:ascii="Arial" w:hAnsi="Arial" w:cs="Arial"/>
          <w:b/>
          <w:sz w:val="20"/>
        </w:rPr>
        <w:t>3+0 Bachelor of Science (Hons) in Computer Science, in collaboration with Coventry University, UK</w:t>
      </w:r>
    </w:p>
    <w:p>
      <w:pPr>
        <w:jc w:val="both"/>
        <w:rPr>
          <w:rFonts w:ascii="Arial" w:hAnsi="Arial" w:cs="Arial"/>
          <w:b/>
          <w:sz w:val="20"/>
        </w:rPr>
      </w:pPr>
      <w:r>
        <w:rPr>
          <w:rFonts w:ascii="Arial" w:hAnsi="Arial" w:cs="Arial"/>
          <w:b/>
          <w:sz w:val="20"/>
        </w:rPr>
        <w:t>3+0 Bachelor of Science (Hons) in Computing, in collaboration with Coventry University, UK</w:t>
      </w:r>
    </w:p>
    <w:p>
      <w:pPr>
        <w:jc w:val="both"/>
        <w:rPr>
          <w:rFonts w:ascii="Arial" w:hAnsi="Arial" w:cs="Arial"/>
          <w:b/>
          <w:sz w:val="20"/>
        </w:rPr>
      </w:pPr>
    </w:p>
    <w:p>
      <w:pPr>
        <w:spacing w:line="360" w:lineRule="auto"/>
        <w:rPr>
          <w:rFonts w:ascii="Arial" w:hAnsi="Arial" w:cs="Arial"/>
          <w:b/>
        </w:rPr>
      </w:pPr>
      <w:r>
        <w:rPr>
          <w:rFonts w:ascii="Arial" w:hAnsi="Arial" w:cs="Arial"/>
          <w:b/>
        </w:rPr>
        <w:t>Coursework cover sheet</w:t>
      </w:r>
    </w:p>
    <w:p>
      <w:pPr>
        <w:spacing w:line="360" w:lineRule="auto"/>
        <w:rPr>
          <w:rFonts w:ascii="Arial" w:hAnsi="Arial" w:cs="Arial"/>
          <w:b/>
        </w:rPr>
      </w:pPr>
      <w:r>
        <w:rPr>
          <w:rFonts w:ascii="Arial" w:hAnsi="Arial" w:cs="Arial"/>
          <w:b/>
        </w:rPr>
        <w:t>Section A - To be completed by the student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94"/>
        <w:gridCol w:w="4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rPr>
                <w:rFonts w:hint="default" w:ascii="Arial" w:hAnsi="Arial" w:cs="Arial"/>
                <w:lang w:val="en-US"/>
              </w:rPr>
            </w:pPr>
            <w:r>
              <w:rPr>
                <w:rFonts w:ascii="Arial" w:hAnsi="Arial" w:cs="Arial"/>
              </w:rPr>
              <w:t>Full Name:</w:t>
            </w:r>
            <w:r>
              <w:rPr>
                <w:rFonts w:hint="default" w:ascii="Arial" w:hAnsi="Arial" w:cs="Arial"/>
                <w:lang w:val="en-US"/>
              </w:rPr>
              <w:t>KHOR WEI MIN</w:t>
            </w:r>
          </w:p>
          <w:p>
            <w:pPr>
              <w:spacing w:after="0" w:line="36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rPr>
                <w:rFonts w:hint="default" w:ascii="Arial" w:hAnsi="Arial" w:cs="Arial"/>
                <w:lang w:val="en-US"/>
              </w:rPr>
            </w:pPr>
            <w:r>
              <w:rPr>
                <w:rFonts w:ascii="Arial" w:hAnsi="Arial" w:cs="Arial"/>
              </w:rPr>
              <w:t>CU Student ID Number:</w:t>
            </w:r>
            <w:r>
              <w:rPr>
                <w:rFonts w:hint="default" w:ascii="Arial" w:hAnsi="Arial" w:cs="Arial"/>
                <w:lang w:val="en-US"/>
              </w:rPr>
              <w:t>p22014754</w:t>
            </w:r>
          </w:p>
          <w:p>
            <w:pPr>
              <w:spacing w:after="0" w:line="36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rPr>
                <w:rFonts w:hint="default" w:ascii="Arial" w:hAnsi="Arial" w:cs="Arial"/>
                <w:lang w:val="en-US"/>
              </w:rPr>
            </w:pPr>
            <w:r>
              <w:rPr>
                <w:rFonts w:ascii="Arial" w:hAnsi="Arial" w:cs="Arial"/>
              </w:rPr>
              <w:t>Semester:</w:t>
            </w:r>
            <w:r>
              <w:rPr>
                <w:rFonts w:hint="default" w:ascii="Arial" w:hAnsi="Arial" w:cs="Arial"/>
                <w:lang w:val="en-US"/>
              </w:rPr>
              <w:t>YEAR 1 SEMESTER 1</w:t>
            </w:r>
          </w:p>
          <w:p>
            <w:pPr>
              <w:spacing w:after="0" w:line="360" w:lineRule="auto"/>
              <w:rPr>
                <w:rFonts w:ascii="Arial" w:hAnsi="Arial" w:cs="Arial"/>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rPr>
                <w:rFonts w:ascii="Arial" w:hAnsi="Arial" w:cs="Arial"/>
              </w:rPr>
            </w:pPr>
            <w:r>
              <w:rPr>
                <w:rFonts w:ascii="Arial" w:hAnsi="Arial" w:cs="Arial"/>
              </w:rPr>
              <w:t>Session:</w:t>
            </w:r>
          </w:p>
          <w:p>
            <w:pPr>
              <w:spacing w:after="0" w:line="360" w:lineRule="auto"/>
              <w:rPr>
                <w:rFonts w:ascii="Arial" w:hAnsi="Arial" w:cs="Arial"/>
              </w:rPr>
            </w:pPr>
            <w:r>
              <w:rPr>
                <w:rFonts w:ascii="Arial" w:hAnsi="Arial" w:cs="Arial"/>
                <w:b/>
              </w:rPr>
              <w:t>August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rPr>
                <w:rFonts w:ascii="Arial" w:hAnsi="Arial" w:cs="Arial"/>
              </w:rPr>
            </w:pPr>
            <w:r>
              <w:rPr>
                <w:rFonts w:ascii="Arial" w:hAnsi="Arial" w:cs="Arial"/>
              </w:rPr>
              <w:t>Lecturer:</w:t>
            </w:r>
          </w:p>
          <w:p>
            <w:pPr>
              <w:spacing w:after="0" w:line="360" w:lineRule="auto"/>
              <w:rPr>
                <w:rFonts w:ascii="Arial" w:hAnsi="Arial" w:cs="Arial"/>
                <w:b/>
              </w:rPr>
            </w:pPr>
            <w:r>
              <w:rPr>
                <w:rFonts w:ascii="Arial" w:hAnsi="Arial" w:cs="Arial"/>
                <w:b/>
              </w:rPr>
              <w:t>Nadhrah Abdul Hadi (nadhrah.abdulhadi@newinti.edu.my)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rPr>
                <w:rFonts w:ascii="Arial" w:hAnsi="Arial" w:cs="Arial"/>
              </w:rPr>
            </w:pPr>
            <w:r>
              <w:rPr>
                <w:rFonts w:ascii="Arial" w:hAnsi="Arial" w:cs="Arial"/>
              </w:rPr>
              <w:t>Module Code and Title:</w:t>
            </w:r>
          </w:p>
          <w:p>
            <w:pPr>
              <w:spacing w:after="0" w:line="360" w:lineRule="auto"/>
              <w:rPr>
                <w:rFonts w:ascii="Arial" w:hAnsi="Arial" w:cs="Arial"/>
                <w:b/>
              </w:rPr>
            </w:pPr>
            <w:r>
              <w:rPr>
                <w:rFonts w:ascii="Arial" w:hAnsi="Arial" w:cs="Arial"/>
                <w:b/>
              </w:rPr>
              <w:t>4067CEM Software Design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360" w:lineRule="auto"/>
              <w:rPr>
                <w:rFonts w:ascii="Arial" w:hAnsi="Arial" w:cs="Arial"/>
              </w:rPr>
            </w:pPr>
            <w:r>
              <w:rPr>
                <w:rFonts w:ascii="Arial" w:hAnsi="Arial" w:cs="Arial"/>
              </w:rPr>
              <w:t>Assignment No. / Title:</w:t>
            </w:r>
          </w:p>
          <w:p>
            <w:pPr>
              <w:spacing w:after="0" w:line="360" w:lineRule="auto"/>
              <w:rPr>
                <w:rFonts w:ascii="Arial" w:hAnsi="Arial" w:cs="Arial"/>
                <w:b/>
              </w:rPr>
            </w:pPr>
            <w:r>
              <w:rPr>
                <w:rFonts w:ascii="Arial" w:hAnsi="Arial" w:cs="Arial"/>
                <w:b/>
              </w:rPr>
              <w:t xml:space="preserve">Continuous Assessment </w:t>
            </w:r>
          </w:p>
        </w:tc>
        <w:tc>
          <w:tcPr>
            <w:tcW w:w="4675" w:type="dxa"/>
          </w:tcPr>
          <w:p>
            <w:pPr>
              <w:spacing w:after="0" w:line="360" w:lineRule="auto"/>
              <w:rPr>
                <w:rFonts w:ascii="Arial" w:hAnsi="Arial" w:cs="Arial"/>
              </w:rPr>
            </w:pPr>
            <w:r>
              <w:rPr>
                <w:rFonts w:ascii="Arial" w:hAnsi="Arial" w:cs="Arial"/>
              </w:rPr>
              <w:t xml:space="preserve">% of Module Mark: </w:t>
            </w:r>
          </w:p>
          <w:p>
            <w:pPr>
              <w:spacing w:after="0" w:line="360" w:lineRule="auto"/>
              <w:rPr>
                <w:rFonts w:ascii="Arial" w:hAnsi="Arial" w:cs="Arial"/>
                <w:b/>
              </w:rPr>
            </w:pPr>
            <w:r>
              <w:rPr>
                <w:rFonts w:ascii="Arial" w:hAnsi="Arial" w:cs="Arial"/>
                <w:b/>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360" w:lineRule="auto"/>
              <w:rPr>
                <w:rFonts w:ascii="Arial" w:hAnsi="Arial" w:cs="Arial"/>
              </w:rPr>
            </w:pPr>
            <w:r>
              <w:rPr>
                <w:rFonts w:ascii="Arial" w:hAnsi="Arial" w:cs="Arial"/>
              </w:rPr>
              <w:t>Hand out Date:</w:t>
            </w:r>
          </w:p>
          <w:p>
            <w:pPr>
              <w:spacing w:after="0" w:line="360" w:lineRule="auto"/>
              <w:rPr>
                <w:rFonts w:ascii="Arial" w:hAnsi="Arial" w:cs="Arial"/>
                <w:b/>
              </w:rPr>
            </w:pPr>
            <w:r>
              <w:rPr>
                <w:rFonts w:ascii="Arial" w:hAnsi="Arial" w:cs="Arial"/>
                <w:b/>
                <w:color w:val="FF0000"/>
              </w:rPr>
              <w:t>6</w:t>
            </w:r>
            <w:r>
              <w:rPr>
                <w:rFonts w:ascii="Arial" w:hAnsi="Arial" w:cs="Arial"/>
                <w:b/>
                <w:color w:val="FF0000"/>
                <w:vertAlign w:val="superscript"/>
              </w:rPr>
              <w:t xml:space="preserve">th </w:t>
            </w:r>
            <w:r>
              <w:rPr>
                <w:rFonts w:ascii="Arial" w:hAnsi="Arial" w:cs="Arial"/>
                <w:b/>
                <w:color w:val="FF0000"/>
              </w:rPr>
              <w:t>September 2022</w:t>
            </w:r>
          </w:p>
        </w:tc>
        <w:tc>
          <w:tcPr>
            <w:tcW w:w="4675" w:type="dxa"/>
          </w:tcPr>
          <w:p>
            <w:pPr>
              <w:spacing w:after="0" w:line="360" w:lineRule="auto"/>
              <w:rPr>
                <w:rFonts w:ascii="Arial" w:hAnsi="Arial" w:cs="Arial"/>
              </w:rPr>
            </w:pPr>
            <w:r>
              <w:rPr>
                <w:rFonts w:ascii="Arial" w:hAnsi="Arial" w:cs="Arial"/>
              </w:rPr>
              <w:t>Due Date:</w:t>
            </w:r>
          </w:p>
          <w:p>
            <w:pPr>
              <w:spacing w:after="0" w:line="360" w:lineRule="auto"/>
              <w:rPr>
                <w:rFonts w:ascii="Arial" w:hAnsi="Arial" w:cs="Arial"/>
                <w:b/>
                <w:color w:val="FF0000"/>
              </w:rPr>
            </w:pPr>
            <w:r>
              <w:rPr>
                <w:rFonts w:ascii="Arial" w:hAnsi="Arial" w:cs="Arial"/>
                <w:b/>
                <w:color w:val="FF0000"/>
              </w:rPr>
              <w:t>Task 1: 30 September 2022, by 11.59pm.</w:t>
            </w:r>
          </w:p>
          <w:p>
            <w:pPr>
              <w:spacing w:after="0" w:line="360" w:lineRule="auto"/>
              <w:rPr>
                <w:rFonts w:ascii="Arial" w:hAnsi="Arial" w:cs="Arial"/>
                <w:b/>
                <w:color w:val="FF0000"/>
              </w:rPr>
            </w:pPr>
            <w:r>
              <w:rPr>
                <w:rFonts w:ascii="Arial" w:hAnsi="Arial" w:cs="Arial"/>
                <w:b/>
                <w:color w:val="FF0000"/>
              </w:rPr>
              <w:t>Task 2: 18 November 2022, by 11.59pm</w:t>
            </w:r>
          </w:p>
          <w:p>
            <w:pPr>
              <w:spacing w:after="0" w:line="360" w:lineRule="auto"/>
              <w:rPr>
                <w:rFonts w:ascii="Arial" w:hAnsi="Arial" w:cs="Arial"/>
                <w:b/>
                <w:color w:val="FF0000"/>
              </w:rPr>
            </w:pPr>
            <w:r>
              <w:rPr>
                <w:rFonts w:ascii="Arial" w:hAnsi="Arial" w:cs="Arial"/>
                <w:b/>
                <w:color w:val="FF0000"/>
              </w:rPr>
              <w:t>Task 3: 4 November 2022, by 11.59pm.</w:t>
            </w:r>
          </w:p>
          <w:p>
            <w:pPr>
              <w:spacing w:after="0" w:line="360" w:lineRule="auto"/>
              <w:rPr>
                <w:rFonts w:ascii="Arial" w:hAnsi="Arial" w:cs="Arial"/>
                <w:b/>
                <w:color w:val="FF0000"/>
              </w:rPr>
            </w:pPr>
            <w:r>
              <w:rPr>
                <w:rFonts w:ascii="Arial" w:hAnsi="Arial" w:cs="Arial"/>
                <w:b/>
                <w:color w:val="FF0000"/>
              </w:rPr>
              <w:t>Task 4: 4 November 2022, by 11.59pm.</w:t>
            </w:r>
          </w:p>
          <w:p>
            <w:pPr>
              <w:spacing w:after="0" w:line="360" w:lineRule="auto"/>
              <w:rPr>
                <w:rFonts w:ascii="Arial" w:hAnsi="Arial" w:cs="Arial"/>
                <w:b/>
                <w:color w:val="FF0000"/>
              </w:rPr>
            </w:pPr>
            <w:r>
              <w:rPr>
                <w:rFonts w:ascii="Arial" w:hAnsi="Arial" w:cs="Arial"/>
                <w:b/>
                <w:color w:val="FF0000"/>
              </w:rPr>
              <w:t>Task 5: 4 November 2022, by 11.59pm.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jc w:val="both"/>
              <w:rPr>
                <w:rFonts w:ascii="Arial" w:hAnsi="Arial" w:cs="Arial"/>
              </w:rPr>
            </w:pPr>
            <w:r>
              <w:rPr>
                <w:rFonts w:ascii="Arial" w:hAnsi="Arial" w:cs="Arial"/>
              </w:rPr>
              <w:t>Penalties: No late work will be accepted. If you are unable to submit coursework on time due to extenuating circumstances, you may be eligible for an extension. Please consult the lecturer.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360" w:lineRule="auto"/>
              <w:jc w:val="both"/>
              <w:rPr>
                <w:rFonts w:ascii="Arial" w:hAnsi="Arial" w:cs="Arial"/>
              </w:rPr>
            </w:pPr>
            <w:r>
              <w:rPr>
                <w:rFonts w:ascii="Arial" w:hAnsi="Arial" w:cs="Arial"/>
              </w:rPr>
              <w:t>Declaration: 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pPr>
              <w:spacing w:after="0" w:line="360" w:lineRule="auto"/>
              <w:jc w:val="both"/>
              <w:rPr>
                <w:rFonts w:ascii="Arial" w:hAnsi="Arial" w:cs="Arial"/>
              </w:rPr>
            </w:pPr>
          </w:p>
          <w:p>
            <w:pPr>
              <w:spacing w:after="0" w:line="360" w:lineRule="auto"/>
              <w:jc w:val="both"/>
              <w:rPr>
                <w:rFonts w:ascii="Arial" w:hAnsi="Arial" w:cs="Arial"/>
              </w:rPr>
            </w:pPr>
          </w:p>
          <w:p>
            <w:pPr>
              <w:spacing w:after="0" w:line="360" w:lineRule="auto"/>
              <w:jc w:val="both"/>
              <w:rPr>
                <w:rFonts w:ascii="Arial" w:hAnsi="Arial" w:cs="Arial"/>
              </w:rPr>
            </w:pPr>
            <w:r>
              <w:rPr>
                <w:rFonts w:ascii="Arial" w:hAnsi="Arial" w:cs="Arial"/>
              </w:rPr>
              <w:t>Signature(s): ___________</w:t>
            </w:r>
            <w:r>
              <w:rPr>
                <w:rFonts w:hint="default" w:ascii="Arial" w:hAnsi="Arial" w:cs="Arial"/>
                <w:lang w:val="en-US"/>
              </w:rPr>
              <w:t>MIN</w:t>
            </w:r>
            <w:r>
              <w:rPr>
                <w:rFonts w:ascii="Arial" w:hAnsi="Arial" w:cs="Arial"/>
              </w:rPr>
              <w:t>_____________</w:t>
            </w:r>
          </w:p>
        </w:tc>
      </w:tr>
    </w:tbl>
    <w:p>
      <w:pPr>
        <w:spacing w:line="360" w:lineRule="auto"/>
        <w:rPr>
          <w:rFonts w:ascii="Arial" w:hAnsi="Arial" w:cs="Arial"/>
          <w:b/>
        </w:rPr>
      </w:pPr>
    </w:p>
    <w:p>
      <w:pPr>
        <w:spacing w:line="360" w:lineRule="auto"/>
        <w:rPr>
          <w:rFonts w:ascii="Arial" w:hAnsi="Arial" w:cs="Arial"/>
          <w:b/>
        </w:rPr>
      </w:pPr>
      <w:r>
        <w:rPr>
          <w:rFonts w:ascii="Arial" w:hAnsi="Arial" w:cs="Arial"/>
          <w:b/>
        </w:rPr>
        <w:t>Section B - To be completed by the module leader</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62"/>
        <w:gridCol w:w="2060"/>
        <w:gridCol w:w="2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pPr>
              <w:spacing w:after="0" w:line="360" w:lineRule="auto"/>
              <w:rPr>
                <w:rFonts w:ascii="Arial" w:hAnsi="Arial" w:cs="Arial"/>
              </w:rPr>
            </w:pPr>
            <w:r>
              <w:rPr>
                <w:rFonts w:ascii="Arial" w:hAnsi="Arial" w:cs="Arial"/>
              </w:rPr>
              <w:t>Intended learning outcomes assessed by this work:</w:t>
            </w:r>
          </w:p>
          <w:p>
            <w:pPr>
              <w:spacing w:after="0" w:line="360" w:lineRule="auto"/>
              <w:jc w:val="both"/>
              <w:rPr>
                <w:rFonts w:ascii="Arial" w:hAnsi="Arial" w:cs="Arial"/>
              </w:rPr>
            </w:pPr>
            <w:r>
              <w:rPr>
                <w:rFonts w:ascii="Arial" w:hAnsi="Arial" w:cs="Arial"/>
              </w:rPr>
              <w:t>1. Understand and apply appropriate concepts, tools and techniques to each stage of the software development</w:t>
            </w:r>
          </w:p>
          <w:p>
            <w:pPr>
              <w:spacing w:after="0" w:line="360" w:lineRule="auto"/>
              <w:jc w:val="both"/>
              <w:rPr>
                <w:rFonts w:ascii="Arial" w:hAnsi="Arial" w:cs="Arial"/>
              </w:rPr>
            </w:pPr>
            <w:r>
              <w:rPr>
                <w:rFonts w:ascii="Arial" w:hAnsi="Arial" w:cs="Arial"/>
              </w:rPr>
              <w:t>2. Understand and apply design patterns to software components in developing new software</w:t>
            </w:r>
          </w:p>
          <w:p>
            <w:pPr>
              <w:spacing w:after="0" w:line="360" w:lineRule="auto"/>
              <w:jc w:val="both"/>
              <w:rPr>
                <w:rFonts w:ascii="Arial" w:hAnsi="Arial" w:cs="Arial"/>
              </w:rPr>
            </w:pPr>
            <w:r>
              <w:rPr>
                <w:rFonts w:ascii="Arial" w:hAnsi="Arial" w:cs="Arial"/>
              </w:rPr>
              <w:t>3. Demonstrate an understanding of project planning and working to agreed deadlines, along with professional, interpersonal skills and effective communication required for software production</w:t>
            </w:r>
          </w:p>
          <w:p>
            <w:pPr>
              <w:spacing w:after="0" w:line="360" w:lineRule="auto"/>
              <w:jc w:val="both"/>
              <w:rPr>
                <w:rFonts w:ascii="Arial" w:hAnsi="Arial" w:cs="Arial"/>
              </w:rPr>
            </w:pPr>
            <w:r>
              <w:rPr>
                <w:rFonts w:ascii="Arial" w:hAnsi="Arial" w:cs="Arial"/>
              </w:rPr>
              <w:t>5. Demonstrate an awareness of, and ability to apply, social, professional, legal and ethical standards as documented in relevant laws and professional codes of conduct such as that of the Malaysian National Computer Confederation.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trPr>
        <w:tc>
          <w:tcPr>
            <w:tcW w:w="3955" w:type="dxa"/>
          </w:tcPr>
          <w:p>
            <w:pPr>
              <w:spacing w:after="0" w:line="360" w:lineRule="auto"/>
              <w:rPr>
                <w:rFonts w:ascii="Arial" w:hAnsi="Arial" w:cs="Arial"/>
              </w:rPr>
            </w:pPr>
            <w:r>
              <w:rPr>
                <w:rFonts w:ascii="Arial" w:hAnsi="Arial" w:cs="Arial"/>
              </w:rPr>
              <w:t>Marking scheme</w:t>
            </w:r>
          </w:p>
        </w:tc>
        <w:tc>
          <w:tcPr>
            <w:tcW w:w="2278" w:type="dxa"/>
          </w:tcPr>
          <w:p>
            <w:pPr>
              <w:spacing w:after="0" w:line="360" w:lineRule="auto"/>
              <w:jc w:val="center"/>
              <w:rPr>
                <w:rFonts w:ascii="Arial" w:hAnsi="Arial" w:cs="Arial"/>
              </w:rPr>
            </w:pPr>
            <w:r>
              <w:rPr>
                <w:rFonts w:ascii="Arial" w:hAnsi="Arial" w:cs="Arial"/>
              </w:rPr>
              <w:t>Max</w:t>
            </w:r>
          </w:p>
        </w:tc>
        <w:tc>
          <w:tcPr>
            <w:tcW w:w="3117" w:type="dxa"/>
          </w:tcPr>
          <w:p>
            <w:pPr>
              <w:spacing w:after="0" w:line="360" w:lineRule="auto"/>
              <w:jc w:val="center"/>
              <w:rPr>
                <w:rFonts w:ascii="Arial" w:hAnsi="Arial" w:cs="Arial"/>
              </w:rPr>
            </w:pPr>
            <w:r>
              <w:rPr>
                <w:rFonts w:ascii="Arial" w:hAnsi="Arial" w:cs="Arial"/>
              </w:rPr>
              <w:t>Mark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3955" w:type="dxa"/>
          </w:tcPr>
          <w:p>
            <w:pPr>
              <w:pStyle w:val="7"/>
              <w:numPr>
                <w:ilvl w:val="0"/>
                <w:numId w:val="1"/>
              </w:numPr>
              <w:spacing w:after="0" w:line="360" w:lineRule="auto"/>
              <w:rPr>
                <w:rFonts w:ascii="Arial" w:hAnsi="Arial" w:cs="Arial"/>
              </w:rPr>
            </w:pPr>
            <w:r>
              <w:rPr>
                <w:rFonts w:ascii="Arial" w:hAnsi="Arial" w:cs="Arial"/>
              </w:rPr>
              <w:t xml:space="preserve">User Story Mapping </w:t>
            </w:r>
          </w:p>
          <w:p>
            <w:pPr>
              <w:pStyle w:val="7"/>
              <w:numPr>
                <w:ilvl w:val="0"/>
                <w:numId w:val="1"/>
              </w:numPr>
              <w:spacing w:after="0" w:line="360" w:lineRule="auto"/>
              <w:rPr>
                <w:rFonts w:ascii="Arial" w:hAnsi="Arial" w:cs="Arial"/>
              </w:rPr>
            </w:pPr>
            <w:r>
              <w:rPr>
                <w:rFonts w:ascii="Arial" w:hAnsi="Arial" w:cs="Arial"/>
              </w:rPr>
              <w:t xml:space="preserve">Setting up a GitHub Repository </w:t>
            </w:r>
          </w:p>
          <w:p>
            <w:pPr>
              <w:pStyle w:val="7"/>
              <w:numPr>
                <w:ilvl w:val="0"/>
                <w:numId w:val="1"/>
              </w:numPr>
              <w:spacing w:after="0" w:line="360" w:lineRule="auto"/>
              <w:rPr>
                <w:rFonts w:ascii="Arial" w:hAnsi="Arial" w:cs="Arial"/>
              </w:rPr>
            </w:pPr>
            <w:r>
              <w:rPr>
                <w:rFonts w:ascii="Arial" w:hAnsi="Arial" w:cs="Arial"/>
              </w:rPr>
              <w:t>Creating a Class diagram and design pattern selection</w:t>
            </w:r>
          </w:p>
          <w:p>
            <w:pPr>
              <w:pStyle w:val="7"/>
              <w:numPr>
                <w:ilvl w:val="0"/>
                <w:numId w:val="1"/>
              </w:numPr>
              <w:spacing w:after="0" w:line="360" w:lineRule="auto"/>
              <w:rPr>
                <w:rFonts w:ascii="Arial" w:hAnsi="Arial" w:cs="Arial"/>
              </w:rPr>
            </w:pPr>
            <w:r>
              <w:rPr>
                <w:rFonts w:ascii="Arial" w:hAnsi="Arial" w:cs="Arial"/>
              </w:rPr>
              <w:t xml:space="preserve">Creating a Prototype User Interface and Usability Testing </w:t>
            </w:r>
          </w:p>
          <w:p>
            <w:pPr>
              <w:pStyle w:val="7"/>
              <w:numPr>
                <w:ilvl w:val="0"/>
                <w:numId w:val="1"/>
              </w:numPr>
              <w:spacing w:after="0" w:line="360" w:lineRule="auto"/>
              <w:rPr>
                <w:rFonts w:ascii="Arial" w:hAnsi="Arial" w:cs="Arial"/>
              </w:rPr>
            </w:pPr>
            <w:r>
              <w:rPr>
                <w:rFonts w:ascii="Arial" w:hAnsi="Arial" w:cs="Arial"/>
              </w:rPr>
              <w:t xml:space="preserve">Discuss the ethical issue related to the software </w:t>
            </w:r>
          </w:p>
        </w:tc>
        <w:tc>
          <w:tcPr>
            <w:tcW w:w="2278" w:type="dxa"/>
          </w:tcPr>
          <w:p>
            <w:pPr>
              <w:spacing w:after="0" w:line="360" w:lineRule="auto"/>
              <w:jc w:val="center"/>
              <w:rPr>
                <w:rFonts w:ascii="Arial" w:hAnsi="Arial" w:cs="Arial"/>
              </w:rPr>
            </w:pPr>
            <w:r>
              <w:rPr>
                <w:rFonts w:ascii="Arial" w:hAnsi="Arial" w:cs="Arial"/>
              </w:rPr>
              <w:t>20</w:t>
            </w:r>
          </w:p>
          <w:p>
            <w:pPr>
              <w:spacing w:after="0" w:line="360" w:lineRule="auto"/>
              <w:jc w:val="center"/>
              <w:rPr>
                <w:rFonts w:ascii="Arial" w:hAnsi="Arial" w:cs="Arial"/>
              </w:rPr>
            </w:pPr>
          </w:p>
          <w:p>
            <w:pPr>
              <w:spacing w:after="0" w:line="360" w:lineRule="auto"/>
              <w:jc w:val="center"/>
              <w:rPr>
                <w:rFonts w:ascii="Arial" w:hAnsi="Arial" w:cs="Arial"/>
              </w:rPr>
            </w:pPr>
            <w:r>
              <w:rPr>
                <w:rFonts w:ascii="Arial" w:hAnsi="Arial" w:cs="Arial"/>
              </w:rPr>
              <w:t>10</w:t>
            </w:r>
          </w:p>
          <w:p>
            <w:pPr>
              <w:spacing w:after="0" w:line="360" w:lineRule="auto"/>
              <w:jc w:val="center"/>
              <w:rPr>
                <w:rFonts w:ascii="Arial" w:hAnsi="Arial" w:cs="Arial"/>
              </w:rPr>
            </w:pPr>
          </w:p>
          <w:p>
            <w:pPr>
              <w:spacing w:after="0" w:line="360" w:lineRule="auto"/>
              <w:jc w:val="center"/>
              <w:rPr>
                <w:rFonts w:ascii="Arial" w:hAnsi="Arial" w:cs="Arial"/>
              </w:rPr>
            </w:pPr>
            <w:r>
              <w:rPr>
                <w:rFonts w:ascii="Arial" w:hAnsi="Arial" w:cs="Arial"/>
              </w:rPr>
              <w:t>30</w:t>
            </w:r>
          </w:p>
          <w:p>
            <w:pPr>
              <w:spacing w:after="0" w:line="360" w:lineRule="auto"/>
              <w:jc w:val="center"/>
              <w:rPr>
                <w:rFonts w:ascii="Arial" w:hAnsi="Arial" w:cs="Arial"/>
              </w:rPr>
            </w:pPr>
          </w:p>
          <w:p>
            <w:pPr>
              <w:spacing w:after="0" w:line="360" w:lineRule="auto"/>
              <w:jc w:val="center"/>
              <w:rPr>
                <w:rFonts w:ascii="Arial" w:hAnsi="Arial" w:cs="Arial"/>
              </w:rPr>
            </w:pPr>
            <w:r>
              <w:rPr>
                <w:rFonts w:ascii="Arial" w:hAnsi="Arial" w:cs="Arial"/>
              </w:rPr>
              <w:t>20</w:t>
            </w:r>
          </w:p>
          <w:p>
            <w:pPr>
              <w:spacing w:after="0" w:line="360" w:lineRule="auto"/>
              <w:jc w:val="center"/>
              <w:rPr>
                <w:rFonts w:ascii="Arial" w:hAnsi="Arial" w:cs="Arial"/>
              </w:rPr>
            </w:pPr>
          </w:p>
          <w:p>
            <w:pPr>
              <w:spacing w:after="0" w:line="360" w:lineRule="auto"/>
              <w:jc w:val="center"/>
              <w:rPr>
                <w:rFonts w:ascii="Arial" w:hAnsi="Arial" w:cs="Arial"/>
              </w:rPr>
            </w:pPr>
            <w:r>
              <w:rPr>
                <w:rFonts w:ascii="Arial" w:hAnsi="Arial" w:cs="Arial"/>
              </w:rPr>
              <w:t>20</w:t>
            </w:r>
          </w:p>
        </w:tc>
        <w:tc>
          <w:tcPr>
            <w:tcW w:w="3117" w:type="dxa"/>
          </w:tcPr>
          <w:p>
            <w:pPr>
              <w:spacing w:after="0"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55" w:type="dxa"/>
          </w:tcPr>
          <w:p>
            <w:pPr>
              <w:spacing w:after="0" w:line="360" w:lineRule="auto"/>
              <w:rPr>
                <w:rFonts w:ascii="Arial" w:hAnsi="Arial" w:cs="Arial"/>
              </w:rPr>
            </w:pPr>
            <w:r>
              <w:rPr>
                <w:rFonts w:ascii="Arial" w:hAnsi="Arial" w:cs="Arial"/>
              </w:rPr>
              <w:t>Total</w:t>
            </w:r>
          </w:p>
        </w:tc>
        <w:tc>
          <w:tcPr>
            <w:tcW w:w="2278" w:type="dxa"/>
          </w:tcPr>
          <w:p>
            <w:pPr>
              <w:spacing w:after="0" w:line="360" w:lineRule="auto"/>
              <w:jc w:val="center"/>
              <w:rPr>
                <w:rFonts w:ascii="Arial" w:hAnsi="Arial" w:cs="Arial"/>
              </w:rPr>
            </w:pPr>
            <w:r>
              <w:rPr>
                <w:rFonts w:ascii="Arial" w:hAnsi="Arial" w:cs="Arial"/>
              </w:rPr>
              <w:t>100</w:t>
            </w:r>
          </w:p>
        </w:tc>
        <w:tc>
          <w:tcPr>
            <w:tcW w:w="3117" w:type="dxa"/>
          </w:tcPr>
          <w:p>
            <w:pPr>
              <w:spacing w:after="0" w:line="360" w:lineRule="auto"/>
              <w:jc w:val="center"/>
              <w:rPr>
                <w:rFonts w:ascii="Arial" w:hAnsi="Arial" w:cs="Arial"/>
              </w:rPr>
            </w:pPr>
          </w:p>
        </w:tc>
      </w:tr>
    </w:tbl>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bookmarkStart w:id="0" w:name="_GoBack"/>
      <w:bookmarkEnd w:id="0"/>
      <w:r>
        <w:rPr>
          <w:rFonts w:hint="default" w:ascii="Times New Roman" w:hAnsi="Times New Roman" w:cs="Times New Roman"/>
          <w:b/>
          <w:bCs/>
          <w:sz w:val="24"/>
          <w:szCs w:val="24"/>
          <w:lang w:val="en-US"/>
        </w:rPr>
        <w:t>Personal Data Protection Act 2010 (PDPA)</w:t>
      </w:r>
    </w:p>
    <w:p>
      <w:pPr>
        <w:spacing w:line="360" w:lineRule="auto"/>
        <w:jc w:val="center"/>
        <w:rPr>
          <w:rFonts w:hint="default" w:ascii="Times New Roman" w:hAnsi="Times New Roman" w:cs="Times New Roman"/>
          <w:sz w:val="24"/>
          <w:szCs w:val="24"/>
          <w:lang w:val="en-US"/>
        </w:rPr>
      </w:pP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The Personal Data Protection Act 2010 (PDPA) went into effect in Malaysia on November 15 with the aim of safeguarding individuals' personal data with regard to business transactions.  Personal data, including any sensitive personal data and expressions of opinion about the data subject, relates directly or indirectly to a data subject who is identified or identifiable from that information, or from that and other information in the possession of a data user.  For instance: name, identification card number, birth date, mobile number, etc.  The data user must make sure the data processor offers adequate assurances to safeguard the personal data from loss, misuse, modification, unauthorised or accidental access or disclosure, alteration, or destruction in cases where personal data processing is outsourced to a third party, also known as the data processor.  </w:t>
      </w:r>
    </w:p>
    <w:p>
      <w:pPr>
        <w:spacing w:line="360" w:lineRule="auto"/>
        <w:jc w:val="both"/>
        <w:rPr>
          <w:rFonts w:hint="default" w:ascii="Times New Roman" w:hAnsi="Times New Roman"/>
          <w:sz w:val="24"/>
          <w:szCs w:val="24"/>
          <w:lang w:val="en-US"/>
        </w:rPr>
      </w:pP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Data users shall not process personal data without the consent of the data subject.  The use of sensitive personal data has individual obligations and is subject to section 40 of the Act.  When data users need to process the personal data, data subjects should give their consent voluntarily.  Users of data shall make a reasonable effort to ensure that personal information is true, full, and relevant for the purpose for which it was obtained. This approach must be followed by periodically updating the data until it is no longer required and then deleting it.</w:t>
      </w:r>
    </w:p>
    <w:p>
      <w:pPr>
        <w:spacing w:line="360" w:lineRule="auto"/>
        <w:jc w:val="both"/>
        <w:rPr>
          <w:rFonts w:hint="default" w:ascii="Times New Roman" w:hAnsi="Times New Roman"/>
          <w:sz w:val="24"/>
          <w:szCs w:val="24"/>
          <w:lang w:val="en-US"/>
        </w:rPr>
      </w:pP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Failure to comply with the provisions of the Act can constitute a criminal offence, subject to fines and imprisonment.  A fine not exceeding RM300,000 and/or 2 years imprisonment or both will be </w:t>
      </w:r>
      <w:r>
        <w:rPr>
          <w:rFonts w:hint="default" w:ascii="Times New Roman" w:hAnsi="Times New Roman"/>
          <w:sz w:val="24"/>
          <w:szCs w:val="24"/>
          <w:lang w:val="en-US"/>
        </w:rPr>
        <w:tab/>
      </w:r>
      <w:r>
        <w:rPr>
          <w:rFonts w:hint="default" w:ascii="Times New Roman" w:hAnsi="Times New Roman"/>
          <w:sz w:val="24"/>
          <w:szCs w:val="24"/>
          <w:lang w:val="en-US"/>
        </w:rPr>
        <w:t>sentenced.  Illegal collection, disclosure and sale of information will be sentenced a fine not exceeding RM500,000 and/or 3 years imprisonment or both.</w:t>
      </w:r>
    </w:p>
    <w:p>
      <w:pPr>
        <w:spacing w:line="360" w:lineRule="auto"/>
        <w:jc w:val="both"/>
        <w:rPr>
          <w:rFonts w:hint="default" w:ascii="Times New Roman" w:hAnsi="Times New Roman"/>
          <w:sz w:val="24"/>
          <w:szCs w:val="24"/>
          <w:lang w:val="en-US"/>
        </w:rPr>
      </w:pPr>
    </w:p>
    <w:p>
      <w:pPr>
        <w:spacing w:line="360" w:lineRule="auto"/>
        <w:jc w:val="both"/>
        <w:rPr>
          <w:rFonts w:hint="default" w:ascii="Times New Roman" w:hAnsi="Times New Roman"/>
          <w:sz w:val="24"/>
          <w:szCs w:val="24"/>
          <w:lang w:val="en-US"/>
        </w:rPr>
      </w:pPr>
    </w:p>
    <w:p>
      <w:pPr>
        <w:spacing w:line="360" w:lineRule="auto"/>
        <w:jc w:val="both"/>
        <w:rPr>
          <w:rFonts w:hint="default" w:ascii="Times New Roman" w:hAnsi="Times New Roman"/>
          <w:sz w:val="24"/>
          <w:szCs w:val="24"/>
          <w:lang w:val="en-US"/>
        </w:rPr>
      </w:pPr>
    </w:p>
    <w:p>
      <w:pPr>
        <w:spacing w:line="360" w:lineRule="auto"/>
        <w:jc w:val="both"/>
        <w:rPr>
          <w:rFonts w:hint="default" w:ascii="Times New Roman" w:hAnsi="Times New Roman"/>
          <w:sz w:val="24"/>
          <w:szCs w:val="24"/>
          <w:lang w:val="en-US"/>
        </w:rPr>
      </w:pPr>
    </w:p>
    <w:p>
      <w:pPr>
        <w:spacing w:line="360" w:lineRule="auto"/>
        <w:jc w:val="both"/>
        <w:rPr>
          <w:rFonts w:hint="default" w:ascii="Times New Roman" w:hAnsi="Times New Roman"/>
          <w:sz w:val="24"/>
          <w:szCs w:val="24"/>
          <w:lang w:val="en-US"/>
        </w:rPr>
      </w:pPr>
    </w:p>
    <w:p>
      <w:pPr>
        <w:spacing w:line="360" w:lineRule="auto"/>
        <w:jc w:val="both"/>
        <w:rPr>
          <w:rFonts w:hint="default" w:ascii="Times New Roman" w:hAnsi="Times New Roman"/>
          <w:sz w:val="24"/>
          <w:szCs w:val="24"/>
          <w:lang w:val="en-US"/>
        </w:rPr>
      </w:pPr>
    </w:p>
    <w:p>
      <w:pPr>
        <w:spacing w:line="360" w:lineRule="auto"/>
        <w:jc w:val="both"/>
        <w:rPr>
          <w:rFonts w:hint="default" w:ascii="Times New Roman" w:hAnsi="Times New Roman"/>
          <w:sz w:val="24"/>
          <w:szCs w:val="24"/>
          <w:lang w:val="en-US"/>
        </w:rPr>
      </w:pPr>
    </w:p>
    <w:p>
      <w:pPr>
        <w:spacing w:line="360" w:lineRule="auto"/>
        <w:jc w:val="center"/>
        <w:rPr>
          <w:rFonts w:hint="default" w:ascii="Times New Roman" w:hAnsi="Times New Roman"/>
          <w:b/>
          <w:bCs/>
          <w:sz w:val="24"/>
          <w:szCs w:val="24"/>
          <w:lang w:val="en-US"/>
        </w:rPr>
      </w:pPr>
      <w:r>
        <w:rPr>
          <w:rFonts w:hint="default" w:ascii="Times New Roman" w:hAnsi="Times New Roman"/>
          <w:b/>
          <w:bCs/>
          <w:sz w:val="24"/>
          <w:szCs w:val="24"/>
          <w:lang w:val="en-US"/>
        </w:rPr>
        <w:t xml:space="preserve">The Communications and Multimedia Act 1998 </w:t>
      </w:r>
    </w:p>
    <w:p>
      <w:pPr>
        <w:spacing w:line="360" w:lineRule="auto"/>
        <w:jc w:val="center"/>
        <w:rPr>
          <w:rFonts w:hint="default" w:ascii="Times New Roman" w:hAnsi="Times New Roman"/>
          <w:b/>
          <w:bCs/>
          <w:sz w:val="24"/>
          <w:szCs w:val="24"/>
          <w:lang w:val="en-US"/>
        </w:rPr>
      </w:pPr>
    </w:p>
    <w:p>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The Communications and Multimedia Act 1998 is a Malaysian law that was passed to address incidental issues as well as to regulate the convergent communications and multimedia industries.  The Communications and Multimedia Act 1998 (CMA 1998) seeks to establish a regime of industry self-regulation, supported by fallback regulatory standards that may be administered by the Malaysian Communications and Multimedia Commission (MCMC).  The industries covered by this regulation include those that provide basic telecommunications services, data communications, radio, television, and those that use digital communication and communication technology as the mode of transmission.  It also covers telecommunications and broadcasting services that involve the development of digital convergence.  Control measures apply to companies.  This regulation affects all of the services we use on a daily basis, including mobile and landline phones, the Internet, television, and radio.  </w:t>
      </w: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eastAsia="zh-CN"/>
        </w:rPr>
      </w:pPr>
      <w:r>
        <w:rPr>
          <w:rFonts w:hint="default" w:ascii="Times New Roman" w:hAnsi="Times New Roman"/>
          <w:b w:val="0"/>
          <w:bCs w:val="0"/>
          <w:sz w:val="24"/>
          <w:szCs w:val="24"/>
          <w:lang w:val="en-US" w:eastAsia="zh-CN"/>
        </w:rPr>
        <w:t xml:space="preserve">User may not spread false information in any way, spread vulgar information, post illegal websites, spam advertisements or any information involving drugs, or otherwise attack, threaten or insult some or all of your users.  Users must refrain from using foul language, abusive gestures, or verbally harassing this app's staff or other users in any way, whether directly or indirectly.  Users shall not disseminate information or materials that violate the general customs, religious beliefs, customs or social morals of some or groups of the public.  </w:t>
      </w:r>
    </w:p>
    <w:p>
      <w:pPr>
        <w:spacing w:line="360" w:lineRule="auto"/>
        <w:jc w:val="both"/>
        <w:rPr>
          <w:rFonts w:hint="default" w:ascii="Times New Roman" w:hAnsi="Times New Roman"/>
          <w:b w:val="0"/>
          <w:bCs w:val="0"/>
          <w:sz w:val="24"/>
          <w:szCs w:val="24"/>
          <w:lang w:val="en-US" w:eastAsia="zh-CN"/>
        </w:rPr>
      </w:pPr>
    </w:p>
    <w:p>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 person commits a crime if they knowingly provide any obscene communications to anyone for commercial gain through a network service or applications service.  A person who violates this section is subject to punishment upon conviction, including a fine of up to 50,000 ringgit, a term of imprisonment not to exceed one year, or both, as well as a daily fine of 1,000 ringgit for each day the offence is continued after conviction.  No content applications service provider, or other person using a content applications service, shall provide content which is indecent, obscene, false, menacing, or offensive in character with intent to annoy, abuse, threaten or harass any person.  A person who violates the aforementioned subsection is guilty of an offence and, if found guilty, faces a fine of up to 50,000 ringgit, up to one year in prison, or both. They are also subject to an additional fine of 1,000 ringgit for each day or portion of a day the offence continues after being found guilty.</w:t>
      </w: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p>
    <w:p>
      <w:pPr>
        <w:spacing w:line="360" w:lineRule="auto"/>
        <w:jc w:val="center"/>
        <w:rPr>
          <w:rFonts w:hint="default" w:ascii="Times New Roman" w:hAnsi="Times New Roman"/>
          <w:b/>
          <w:bCs/>
          <w:sz w:val="24"/>
          <w:szCs w:val="24"/>
          <w:lang w:val="en-US"/>
        </w:rPr>
      </w:pPr>
      <w:r>
        <w:rPr>
          <w:rFonts w:hint="default" w:ascii="Times New Roman" w:hAnsi="Times New Roman"/>
          <w:b/>
          <w:bCs/>
          <w:sz w:val="24"/>
          <w:szCs w:val="24"/>
          <w:lang w:val="en-US"/>
        </w:rPr>
        <w:t>Copyright Act 1987 (Malaysia)</w:t>
      </w:r>
    </w:p>
    <w:p>
      <w:pPr>
        <w:spacing w:line="360" w:lineRule="auto"/>
        <w:jc w:val="center"/>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The Copyright Act 1987 (Malaysia) is a law that was passed in Malaysia in order to improve the legal provisions governing copyright in Malaysia and other related issues. The Imperial Copyright Act of 1911, which was in use in British Malaya and the rest of the British Empire during its height, was repealed.  Copyright is the exclusive right given to the author for a specific period of time.  General protection of works of language, art, music and film and television.  It is against the law for anyone to copy, reproduce or exploit their work for profit and publicity without the consent of the copyright holder.  </w:t>
      </w: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Users are not allowed to sell or rent any copyright-infringing copies when using this app.  Users are not permitted to sell, rent or permit the commercial, public or offer to sell or rent any copyright-infringing reproductions.  Users may not delete or modify any electronic management information without authorization.</w:t>
      </w:r>
    </w:p>
    <w:p>
      <w:pPr>
        <w:spacing w:line="360" w:lineRule="auto"/>
        <w:jc w:val="both"/>
        <w:rPr>
          <w:rFonts w:hint="default" w:ascii="Times New Roman" w:hAnsi="Times New Roman"/>
          <w:b w:val="0"/>
          <w:bCs w:val="0"/>
          <w:sz w:val="24"/>
          <w:szCs w:val="24"/>
          <w:lang w:val="en-US"/>
        </w:rPr>
      </w:pPr>
    </w:p>
    <w:p>
      <w:pPr>
        <w:spacing w:line="360" w:lineRule="auto"/>
        <w:jc w:val="both"/>
        <w:rPr>
          <w:rFonts w:hint="default" w:ascii="Times New Roman" w:hAnsi="Times New Roman"/>
          <w:b w:val="0"/>
          <w:bCs w:val="0"/>
          <w:sz w:val="24"/>
          <w:szCs w:val="24"/>
          <w:lang w:val="en-US" w:eastAsia="zh-CN"/>
        </w:rPr>
      </w:pPr>
      <w:r>
        <w:rPr>
          <w:rFonts w:hint="default" w:ascii="Times New Roman" w:hAnsi="Times New Roman" w:eastAsiaTheme="minorEastAsia"/>
          <w:b w:val="0"/>
          <w:bCs w:val="0"/>
          <w:sz w:val="24"/>
          <w:szCs w:val="24"/>
          <w:lang w:val="en-US" w:eastAsia="zh-CN"/>
        </w:rPr>
        <w:t>Each infringing work faces a fine of not less than RM2,000 and not more than RM20,000, or imprisonment for not more than 5 years, or both</w:t>
      </w:r>
      <w:r>
        <w:rPr>
          <w:rFonts w:hint="default" w:ascii="Times New Roman" w:hAnsi="Times New Roman"/>
          <w:b w:val="0"/>
          <w:bCs w:val="0"/>
          <w:sz w:val="24"/>
          <w:szCs w:val="24"/>
          <w:lang w:val="en-US" w:eastAsia="zh-CN"/>
        </w:rPr>
        <w:t xml:space="preserve">.  For any subsequent offence, each infringing work faces a fine not exceeding RM50,000, or imprisonment not exceeding 10 years, or both.  </w:t>
      </w:r>
    </w:p>
    <w:p>
      <w:pPr>
        <w:spacing w:line="360" w:lineRule="auto"/>
        <w:jc w:val="both"/>
        <w:rPr>
          <w:rFonts w:hint="default" w:ascii="Times New Roman" w:hAnsi="Times New Roman"/>
          <w:b w:val="0"/>
          <w:bCs w:val="0"/>
          <w:sz w:val="24"/>
          <w:szCs w:val="24"/>
          <w:lang w:val="en-US" w:eastAsia="zh-CN"/>
        </w:rPr>
      </w:pPr>
    </w:p>
    <w:p>
      <w:pPr>
        <w:spacing w:line="360" w:lineRule="auto"/>
        <w:jc w:val="both"/>
        <w:rPr>
          <w:rFonts w:hint="default" w:ascii="Times New Roman" w:hAnsi="Times New Roman"/>
          <w:b w:val="0"/>
          <w:bCs w:val="0"/>
          <w:sz w:val="24"/>
          <w:szCs w:val="24"/>
          <w:lang w:val="en-US" w:eastAsia="zh-CN"/>
        </w:rPr>
      </w:pPr>
    </w:p>
    <w:p>
      <w:pPr>
        <w:spacing w:line="360" w:lineRule="auto"/>
        <w:jc w:val="both"/>
        <w:rPr>
          <w:rFonts w:hint="default" w:ascii="Times New Roman" w:hAnsi="Times New Roman"/>
          <w:b w:val="0"/>
          <w:bCs w:val="0"/>
          <w:sz w:val="24"/>
          <w:szCs w:val="24"/>
          <w:lang w:val="en-US" w:eastAsia="zh-CN"/>
        </w:rPr>
      </w:pPr>
    </w:p>
    <w:p>
      <w:pPr>
        <w:spacing w:line="360" w:lineRule="auto"/>
        <w:jc w:val="both"/>
        <w:rPr>
          <w:rFonts w:hint="default" w:ascii="Times New Roman" w:hAnsi="Times New Roman"/>
          <w:b w:val="0"/>
          <w:bCs w:val="0"/>
          <w:sz w:val="24"/>
          <w:szCs w:val="24"/>
          <w:lang w:val="en-US" w:eastAsia="zh-CN"/>
        </w:rPr>
      </w:pPr>
    </w:p>
    <w:p>
      <w:pPr>
        <w:spacing w:line="360" w:lineRule="auto"/>
        <w:jc w:val="both"/>
        <w:rPr>
          <w:rFonts w:hint="default" w:ascii="Times New Roman" w:hAnsi="Times New Roman"/>
          <w:b w:val="0"/>
          <w:bCs w:val="0"/>
          <w:sz w:val="24"/>
          <w:szCs w:val="24"/>
          <w:lang w:val="en-US" w:eastAsia="zh-CN"/>
        </w:rPr>
      </w:pPr>
    </w:p>
    <w:p>
      <w:pPr>
        <w:spacing w:line="360" w:lineRule="auto"/>
        <w:jc w:val="both"/>
        <w:rPr>
          <w:rFonts w:hint="default" w:ascii="Times New Roman" w:hAnsi="Times New Roman"/>
          <w:b w:val="0"/>
          <w:bCs w:val="0"/>
          <w:sz w:val="24"/>
          <w:szCs w:val="24"/>
          <w:lang w:val="en-US" w:eastAsia="zh-CN"/>
        </w:rPr>
      </w:pPr>
    </w:p>
    <w:p>
      <w:pPr>
        <w:spacing w:line="360" w:lineRule="auto"/>
        <w:jc w:val="both"/>
        <w:rPr>
          <w:rFonts w:hint="default" w:ascii="Times New Roman" w:hAnsi="Times New Roman"/>
          <w:b w:val="0"/>
          <w:bCs w:val="0"/>
          <w:sz w:val="24"/>
          <w:szCs w:val="24"/>
          <w:lang w:val="en-US" w:eastAsia="zh-CN"/>
        </w:rPr>
      </w:pPr>
    </w:p>
    <w:p>
      <w:pPr>
        <w:spacing w:line="360" w:lineRule="auto"/>
        <w:jc w:val="both"/>
        <w:rPr>
          <w:rFonts w:hint="default" w:ascii="Times New Roman" w:hAnsi="Times New Roman"/>
          <w:b w:val="0"/>
          <w:bCs w:val="0"/>
          <w:sz w:val="24"/>
          <w:szCs w:val="24"/>
          <w:lang w:val="en-US" w:eastAsia="zh-CN"/>
        </w:rPr>
      </w:pPr>
    </w:p>
    <w:p>
      <w:pPr>
        <w:spacing w:line="360" w:lineRule="auto"/>
        <w:jc w:val="both"/>
        <w:rPr>
          <w:rFonts w:hint="default" w:ascii="Times New Roman" w:hAnsi="Times New Roman"/>
          <w:b w:val="0"/>
          <w:bCs w:val="0"/>
          <w:sz w:val="24"/>
          <w:szCs w:val="24"/>
          <w:lang w:val="en-US" w:eastAsia="zh-CN"/>
        </w:rPr>
      </w:pPr>
    </w:p>
    <w:p>
      <w:pPr>
        <w:spacing w:line="360" w:lineRule="auto"/>
        <w:jc w:val="both"/>
        <w:rPr>
          <w:rFonts w:hint="default" w:ascii="Times New Roman" w:hAnsi="Times New Roman"/>
          <w:b w:val="0"/>
          <w:bCs w:val="0"/>
          <w:sz w:val="24"/>
          <w:szCs w:val="24"/>
          <w:lang w:val="en-US" w:eastAsia="zh-CN"/>
        </w:rPr>
      </w:pPr>
    </w:p>
    <w:p>
      <w:pPr>
        <w:spacing w:line="360" w:lineRule="auto"/>
        <w:jc w:val="both"/>
        <w:rPr>
          <w:rFonts w:hint="default" w:ascii="Times New Roman" w:hAnsi="Times New Roman"/>
          <w:b w:val="0"/>
          <w:bCs w:val="0"/>
          <w:sz w:val="24"/>
          <w:szCs w:val="24"/>
          <w:lang w:val="en-US" w:eastAsia="zh-CN"/>
        </w:rPr>
      </w:pPr>
    </w:p>
    <w:p>
      <w:pPr>
        <w:spacing w:line="360" w:lineRule="auto"/>
        <w:jc w:val="both"/>
        <w:rPr>
          <w:rFonts w:hint="default" w:ascii="Times New Roman" w:hAnsi="Times New Roman"/>
          <w:b w:val="0"/>
          <w:bCs w:val="0"/>
          <w:sz w:val="24"/>
          <w:szCs w:val="24"/>
          <w:lang w:val="en-US" w:eastAsia="zh-CN"/>
        </w:rPr>
      </w:pPr>
    </w:p>
    <w:p>
      <w:pPr>
        <w:spacing w:line="360" w:lineRule="auto"/>
        <w:jc w:val="both"/>
        <w:rPr>
          <w:rFonts w:hint="default" w:ascii="Times New Roman" w:hAnsi="Times New Roman"/>
          <w:b w:val="0"/>
          <w:bCs w:val="0"/>
          <w:sz w:val="24"/>
          <w:szCs w:val="24"/>
          <w:lang w:val="en-US" w:eastAsia="zh-CN"/>
        </w:rPr>
      </w:pPr>
    </w:p>
    <w:p>
      <w:pPr>
        <w:spacing w:line="360" w:lineRule="auto"/>
        <w:jc w:val="both"/>
        <w:rPr>
          <w:rFonts w:hint="default" w:ascii="Times New Roman" w:hAnsi="Times New Roman"/>
          <w:b w:val="0"/>
          <w:bCs w:val="0"/>
          <w:sz w:val="24"/>
          <w:szCs w:val="24"/>
          <w:lang w:val="en-US" w:eastAsia="zh-CN"/>
        </w:rPr>
      </w:pPr>
    </w:p>
    <w:p>
      <w:pPr>
        <w:spacing w:line="360" w:lineRule="auto"/>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Reference</w:t>
      </w:r>
    </w:p>
    <w:p>
      <w:pPr>
        <w:spacing w:line="360" w:lineRule="auto"/>
        <w:jc w:val="center"/>
        <w:rPr>
          <w:rFonts w:hint="default" w:ascii="Times New Roman" w:hAnsi="Times New Roman" w:cs="Times New Roman"/>
          <w:b w:val="0"/>
          <w:bCs w:val="0"/>
          <w:sz w:val="24"/>
          <w:szCs w:val="24"/>
          <w:lang w:val="en-US"/>
        </w:rPr>
      </w:pPr>
    </w:p>
    <w:p>
      <w:pPr>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"https://www.chinesechamber.org.my/wp-content/uploads/2017/08/04-2010%E5%B9%B4%E4%B8%AA%E4%BA%BA%E8%B5%84%E6%96%99%E4%BF%9D%E6%8A%A4%E6%B3%95.pdf" </w:instrText>
      </w:r>
      <w:r>
        <w:rPr>
          <w:rFonts w:hint="default" w:ascii="Times New Roman" w:hAnsi="Times New Roman" w:cs="Times New Roman"/>
          <w:sz w:val="24"/>
          <w:szCs w:val="24"/>
        </w:rPr>
        <w:fldChar w:fldCharType="separate"/>
      </w:r>
      <w:r>
        <w:rPr>
          <w:rStyle w:val="4"/>
          <w:rFonts w:hint="default" w:ascii="Times New Roman" w:hAnsi="Times New Roman" w:cs="Times New Roman"/>
          <w:sz w:val="24"/>
          <w:szCs w:val="24"/>
        </w:rPr>
        <w:t>https://www.chinesechamber.org.my/wp-content/uploads/2017/08/04-2010%E5%B9%B4%E4%B8%AA%E4%BA%BA%E8%B5%84%E6%96%99%E4%BF%9D%E6%8A%A4%E6%B3%95.pdf</w:t>
      </w:r>
      <w:r>
        <w:rPr>
          <w:rFonts w:hint="default" w:ascii="Times New Roman" w:hAnsi="Times New Roman" w:cs="Times New Roman"/>
          <w:sz w:val="24"/>
          <w:szCs w:val="24"/>
        </w:rPr>
        <w:fldChar w:fldCharType="end"/>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"https://www.pwc.com/my/en/services/assurance/pdpa.html#:~:text=the%20main%20challenges%3F-,What%20is%20PDPA%3F,1%20to%203%20years%20imprisonment." </w:instrText>
      </w:r>
      <w:r>
        <w:rPr>
          <w:rFonts w:hint="default" w:ascii="Times New Roman" w:hAnsi="Times New Roman" w:cs="Times New Roman"/>
          <w:sz w:val="24"/>
          <w:szCs w:val="24"/>
        </w:rPr>
        <w:fldChar w:fldCharType="separate"/>
      </w:r>
      <w:r>
        <w:rPr>
          <w:rStyle w:val="4"/>
          <w:rFonts w:hint="default" w:ascii="Times New Roman" w:hAnsi="Times New Roman" w:cs="Times New Roman"/>
          <w:sz w:val="24"/>
          <w:szCs w:val="24"/>
        </w:rPr>
        <w:t>https://www.pwc.com/my/en/services/assurance/pdpa.html#:~:text=the%20main%20challenges%3F-,What%20is%20PDPA%3F,1%20to%203%20years%20imprisonment.</w:t>
      </w:r>
      <w:r>
        <w:rPr>
          <w:rFonts w:hint="default" w:ascii="Times New Roman" w:hAnsi="Times New Roman" w:cs="Times New Roman"/>
          <w:sz w:val="24"/>
          <w:szCs w:val="24"/>
        </w:rPr>
        <w:fldChar w:fldCharType="end"/>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"https://www.mcmc.gov.my/skmmgovmy/media/General/pdf/Act588bi_3.pdf" </w:instrText>
      </w:r>
      <w:r>
        <w:rPr>
          <w:rFonts w:hint="default" w:ascii="Times New Roman" w:hAnsi="Times New Roman" w:cs="Times New Roman"/>
          <w:sz w:val="24"/>
          <w:szCs w:val="24"/>
        </w:rPr>
        <w:fldChar w:fldCharType="separate"/>
      </w:r>
      <w:r>
        <w:rPr>
          <w:rStyle w:val="4"/>
          <w:rFonts w:hint="default" w:ascii="Times New Roman" w:hAnsi="Times New Roman" w:cs="Times New Roman"/>
          <w:sz w:val="24"/>
          <w:szCs w:val="24"/>
        </w:rPr>
        <w:t>https://www.mcmc.gov.my/skmmgovmy/media/General/pdf/Act588bi_3.pdf</w:t>
      </w:r>
      <w:r>
        <w:rPr>
          <w:rFonts w:hint="default" w:ascii="Times New Roman" w:hAnsi="Times New Roman" w:cs="Times New Roman"/>
          <w:sz w:val="24"/>
          <w:szCs w:val="24"/>
        </w:rPr>
        <w:fldChar w:fldCharType="end"/>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"https://mediamalaysia.net/archives/4227" </w:instrText>
      </w:r>
      <w:r>
        <w:rPr>
          <w:rFonts w:hint="default" w:ascii="Times New Roman" w:hAnsi="Times New Roman" w:cs="Times New Roman"/>
          <w:sz w:val="24"/>
          <w:szCs w:val="24"/>
        </w:rPr>
        <w:fldChar w:fldCharType="separate"/>
      </w:r>
      <w:r>
        <w:rPr>
          <w:rStyle w:val="4"/>
          <w:rFonts w:hint="default" w:ascii="Times New Roman" w:hAnsi="Times New Roman" w:cs="Times New Roman"/>
          <w:sz w:val="24"/>
          <w:szCs w:val="24"/>
        </w:rPr>
        <w:t>https://mediamalaysia.net/archives/4227</w:t>
      </w:r>
      <w:r>
        <w:rPr>
          <w:rFonts w:hint="default" w:ascii="Times New Roman" w:hAnsi="Times New Roman" w:cs="Times New Roman"/>
          <w:sz w:val="24"/>
          <w:szCs w:val="24"/>
        </w:rPr>
        <w:fldChar w:fldCharType="end"/>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"https://www.fakongjian.com/tools/laws/259-malaysia/14876-1471658214.html" </w:instrText>
      </w:r>
      <w:r>
        <w:rPr>
          <w:rFonts w:hint="default" w:ascii="Times New Roman" w:hAnsi="Times New Roman" w:cs="Times New Roman"/>
          <w:sz w:val="24"/>
          <w:szCs w:val="24"/>
        </w:rPr>
        <w:fldChar w:fldCharType="separate"/>
      </w:r>
      <w:r>
        <w:rPr>
          <w:rStyle w:val="4"/>
          <w:rFonts w:hint="default" w:ascii="Times New Roman" w:hAnsi="Times New Roman" w:cs="Times New Roman"/>
          <w:sz w:val="24"/>
          <w:szCs w:val="24"/>
        </w:rPr>
        <w:t>https://www.fakongjian.com/tools/laws/259-malaysia/14876-1471658214.html</w:t>
      </w:r>
      <w:r>
        <w:rPr>
          <w:rFonts w:hint="default" w:ascii="Times New Roman" w:hAnsi="Times New Roman" w:cs="Times New Roman"/>
          <w:sz w:val="24"/>
          <w:szCs w:val="24"/>
        </w:rPr>
        <w:fldChar w:fldCharType="end"/>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"https://www.kuekong.com/?p=2554" </w:instrText>
      </w:r>
      <w:r>
        <w:rPr>
          <w:rFonts w:hint="default" w:ascii="Times New Roman" w:hAnsi="Times New Roman" w:cs="Times New Roman"/>
          <w:sz w:val="24"/>
          <w:szCs w:val="24"/>
        </w:rPr>
        <w:fldChar w:fldCharType="separate"/>
      </w:r>
      <w:r>
        <w:rPr>
          <w:rStyle w:val="4"/>
          <w:rFonts w:hint="default" w:ascii="Times New Roman" w:hAnsi="Times New Roman" w:cs="Times New Roman"/>
          <w:sz w:val="24"/>
          <w:szCs w:val="24"/>
        </w:rPr>
        <w:t>https://www.kuekong.com/?p=2554</w:t>
      </w:r>
      <w:r>
        <w:rPr>
          <w:rFonts w:hint="default" w:ascii="Times New Roman" w:hAnsi="Times New Roman" w:cs="Times New Roman"/>
          <w:sz w:val="24"/>
          <w:szCs w:val="24"/>
        </w:rPr>
        <w:fldChar w:fldCharType="end"/>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"https://en.wikipedia.org/wiki/Copyright_Act_1987_(Malaysia)" </w:instrText>
      </w:r>
      <w:r>
        <w:rPr>
          <w:rFonts w:hint="default" w:ascii="Times New Roman" w:hAnsi="Times New Roman" w:cs="Times New Roman"/>
          <w:sz w:val="24"/>
          <w:szCs w:val="24"/>
        </w:rPr>
        <w:fldChar w:fldCharType="separate"/>
      </w:r>
      <w:r>
        <w:rPr>
          <w:rStyle w:val="4"/>
          <w:rFonts w:hint="default" w:ascii="Times New Roman" w:hAnsi="Times New Roman" w:cs="Times New Roman"/>
          <w:sz w:val="24"/>
          <w:szCs w:val="24"/>
        </w:rPr>
        <w:t>https://en.wikipedia.org/wiki/Copyright_Act_1987_(Malaysia)</w:t>
      </w:r>
      <w:r>
        <w:rPr>
          <w:rFonts w:hint="default" w:ascii="Times New Roman" w:hAnsi="Times New Roman" w:cs="Times New Roman"/>
          <w:sz w:val="24"/>
          <w:szCs w:val="24"/>
        </w:rPr>
        <w:fldChar w:fldCharType="end"/>
      </w:r>
    </w:p>
    <w:p>
      <w:pPr>
        <w:spacing w:line="360" w:lineRule="auto"/>
        <w:jc w:val="center"/>
        <w:rPr>
          <w:rFonts w:hint="default" w:ascii="Times New Roman" w:hAnsi="Times New Roman"/>
          <w:b w:val="0"/>
          <w:bCs w:val="0"/>
          <w:sz w:val="24"/>
          <w:szCs w:val="24"/>
          <w:lang w:val="en-US"/>
        </w:rPr>
      </w:pPr>
    </w:p>
    <w:p>
      <w:pPr>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"https://www.cric.or.jp/db/link/doc/malaysiaCopyrightAct1987asat1-7-2012.pdf" </w:instrText>
      </w:r>
      <w:r>
        <w:rPr>
          <w:rFonts w:hint="default" w:ascii="Times New Roman" w:hAnsi="Times New Roman" w:cs="Times New Roman"/>
          <w:sz w:val="24"/>
          <w:szCs w:val="24"/>
        </w:rPr>
        <w:fldChar w:fldCharType="separate"/>
      </w:r>
      <w:r>
        <w:rPr>
          <w:rStyle w:val="4"/>
          <w:rFonts w:hint="default" w:ascii="Times New Roman" w:hAnsi="Times New Roman" w:cs="Times New Roman"/>
          <w:sz w:val="24"/>
          <w:szCs w:val="24"/>
        </w:rPr>
        <w:t>https://www.cric.or.jp/db/link/doc/malaysiaCopyrightAct1987asat1-7-2012.pdf</w:t>
      </w:r>
      <w:r>
        <w:rPr>
          <w:rFonts w:hint="default" w:ascii="Times New Roman" w:hAnsi="Times New Roman" w:cs="Times New Roman"/>
          <w:sz w:val="24"/>
          <w:szCs w:val="24"/>
        </w:rPr>
        <w:fldChar w:fldCharType="end"/>
      </w:r>
    </w:p>
    <w:p>
      <w:pPr>
        <w:spacing w:line="360" w:lineRule="auto"/>
        <w:jc w:val="both"/>
        <w:rPr>
          <w:rFonts w:hint="default" w:ascii="Times New Roman" w:hAnsi="Times New Roman"/>
          <w:b w:val="0"/>
          <w:bCs w:val="0"/>
          <w:sz w:val="24"/>
          <w:szCs w:val="24"/>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035434"/>
    <w:multiLevelType w:val="multilevel"/>
    <w:tmpl w:val="1103543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8F5E27"/>
    <w:rsid w:val="029A3F56"/>
    <w:rsid w:val="11412AE7"/>
    <w:rsid w:val="528F5E27"/>
    <w:rsid w:val="71FE18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table" w:styleId="6">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1"/>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2022-11-18T04:01:00Z</dcterms:created>
  <dc:creator>Wei Min Khor</dc:creator>
  <cp:lastModifiedBy>Wei Min Khor</cp:lastModifiedBy>
  <dcterms:modified xsi:type="dcterms:W3CDTF">2022-11-18T13:16:52Z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5901C1A1CBA9429A8D3E0CEFBDB49F14</vt:lpwstr>
  </property>
</Properties>
</file>