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7F" w:rsidRPr="00314C7F" w:rsidRDefault="009F69C5" w:rsidP="00314C7F">
      <w:pPr>
        <w:spacing w:after="0" w:line="240" w:lineRule="auto"/>
        <w:rPr>
          <w:b/>
          <w:sz w:val="44"/>
          <w:szCs w:val="44"/>
        </w:rPr>
      </w:pPr>
      <w:r w:rsidRPr="00314C7F">
        <w:rPr>
          <w:b/>
          <w:sz w:val="44"/>
          <w:szCs w:val="44"/>
        </w:rPr>
        <w:t>DRAFT</w:t>
      </w:r>
      <w:r w:rsidR="00314C7F" w:rsidRPr="00314C7F">
        <w:rPr>
          <w:b/>
          <w:sz w:val="44"/>
          <w:szCs w:val="44"/>
        </w:rPr>
        <w:t xml:space="preserve"> FOR DISCUSSION</w:t>
      </w:r>
      <w:r w:rsidRPr="00314C7F">
        <w:rPr>
          <w:b/>
          <w:sz w:val="44"/>
          <w:szCs w:val="44"/>
        </w:rPr>
        <w:t xml:space="preserve"> </w:t>
      </w:r>
    </w:p>
    <w:p w:rsidR="009F69C5" w:rsidRPr="009F69C5" w:rsidRDefault="009F69C5" w:rsidP="00314C7F">
      <w:pPr>
        <w:spacing w:after="0" w:line="240" w:lineRule="auto"/>
        <w:rPr>
          <w:b/>
        </w:rPr>
      </w:pPr>
      <w:r w:rsidRPr="009F69C5">
        <w:rPr>
          <w:b/>
        </w:rPr>
        <w:t xml:space="preserve"> (March </w:t>
      </w:r>
      <w:r w:rsidR="00866E30">
        <w:rPr>
          <w:b/>
        </w:rPr>
        <w:t>1</w:t>
      </w:r>
      <w:r w:rsidR="00ED375C">
        <w:rPr>
          <w:b/>
        </w:rPr>
        <w:t>8</w:t>
      </w:r>
      <w:r w:rsidRPr="009F69C5">
        <w:rPr>
          <w:b/>
        </w:rPr>
        <w:t>, 2014)</w:t>
      </w:r>
    </w:p>
    <w:p w:rsidR="00E723BB" w:rsidRDefault="00E723BB" w:rsidP="00314C7F">
      <w:pPr>
        <w:spacing w:after="0" w:line="240" w:lineRule="auto"/>
      </w:pPr>
    </w:p>
    <w:p w:rsidR="00E723BB" w:rsidRDefault="00E723BB"/>
    <w:p w:rsidR="00E723BB" w:rsidRPr="00E723BB" w:rsidRDefault="00E723BB" w:rsidP="00E723BB"/>
    <w:p w:rsidR="00E723BB" w:rsidRPr="00F532F4" w:rsidRDefault="00E723BB" w:rsidP="00E723B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739600" w:themeColor="background2"/>
          <w:sz w:val="54"/>
          <w:szCs w:val="54"/>
        </w:rPr>
      </w:pPr>
      <w:r w:rsidRPr="00F532F4">
        <w:rPr>
          <w:rFonts w:ascii="Georgia" w:hAnsi="Georgia" w:cs="Georgia"/>
          <w:color w:val="739600" w:themeColor="background2"/>
          <w:sz w:val="54"/>
          <w:szCs w:val="54"/>
        </w:rPr>
        <w:t>2014 Global Payments Advisory Group Conference</w:t>
      </w:r>
    </w:p>
    <w:p w:rsidR="00E723BB" w:rsidRPr="00F532F4" w:rsidRDefault="00E723BB" w:rsidP="00E723BB">
      <w:pPr>
        <w:rPr>
          <w:color w:val="739600" w:themeColor="background2"/>
        </w:rPr>
      </w:pPr>
      <w:r w:rsidRPr="00F532F4">
        <w:rPr>
          <w:rFonts w:ascii="Georgia" w:hAnsi="Georgia" w:cs="Georgia"/>
          <w:color w:val="739600" w:themeColor="background2"/>
          <w:sz w:val="44"/>
          <w:szCs w:val="44"/>
        </w:rPr>
        <w:t xml:space="preserve">June </w:t>
      </w:r>
      <w:r w:rsidR="00A90780">
        <w:rPr>
          <w:rFonts w:ascii="Georgia" w:hAnsi="Georgia" w:cs="Georgia"/>
          <w:color w:val="739600" w:themeColor="background2"/>
          <w:sz w:val="44"/>
          <w:szCs w:val="44"/>
        </w:rPr>
        <w:t>2-6</w:t>
      </w:r>
      <w:r w:rsidRPr="00F532F4">
        <w:rPr>
          <w:rFonts w:ascii="Georgia" w:hAnsi="Georgia" w:cs="Georgia"/>
          <w:color w:val="739600" w:themeColor="background2"/>
          <w:sz w:val="44"/>
          <w:szCs w:val="44"/>
        </w:rPr>
        <w:t>, 2014</w:t>
      </w:r>
    </w:p>
    <w:p w:rsidR="00A90780" w:rsidRDefault="00A90780">
      <w:bookmarkStart w:id="0" w:name="_GoBack"/>
      <w:bookmarkEnd w:id="0"/>
    </w:p>
    <w:p w:rsidR="00BD1674" w:rsidRDefault="00BD1674"/>
    <w:p w:rsidR="00BD1674" w:rsidRDefault="00BD1674"/>
    <w:p w:rsidR="00BD1674" w:rsidRPr="00A90780" w:rsidRDefault="00BD1674"/>
    <w:p w:rsidR="00AF6DAD" w:rsidRDefault="00AF6DAD">
      <w:pPr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 xml:space="preserve">Sunday, June </w:t>
      </w:r>
      <w:r w:rsidR="00A118DA">
        <w:rPr>
          <w:rFonts w:ascii="Georgia" w:hAnsi="Georgia" w:cs="Georgia"/>
          <w:b/>
          <w:bCs/>
          <w:sz w:val="24"/>
          <w:szCs w:val="24"/>
        </w:rPr>
        <w:t>1</w:t>
      </w:r>
      <w:r>
        <w:rPr>
          <w:rFonts w:ascii="Georgia" w:hAnsi="Georgia" w:cs="Georgia"/>
          <w:b/>
          <w:bCs/>
          <w:sz w:val="24"/>
          <w:szCs w:val="24"/>
        </w:rPr>
        <w:t xml:space="preserve"> (Optional Activity) – Meet in Omni Hotel lobby by </w:t>
      </w:r>
      <w:r w:rsidR="00A90780">
        <w:rPr>
          <w:rFonts w:ascii="Georgia" w:hAnsi="Georgia" w:cs="Georgia"/>
          <w:b/>
          <w:bCs/>
          <w:sz w:val="24"/>
          <w:szCs w:val="24"/>
        </w:rPr>
        <w:t>5:15pm</w:t>
      </w:r>
    </w:p>
    <w:tbl>
      <w:tblPr>
        <w:tblStyle w:val="MediumGrid3-Accent4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366"/>
        <w:gridCol w:w="3390"/>
        <w:gridCol w:w="4015"/>
        <w:gridCol w:w="3419"/>
      </w:tblGrid>
      <w:tr w:rsidR="00DA768F" w:rsidRPr="00AF6DAD" w:rsidTr="002D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97" w:type="pct"/>
          </w:tcPr>
          <w:p w:rsidR="00AF6DAD" w:rsidRPr="00FF2BE3" w:rsidRDefault="00AF6DAD" w:rsidP="002D7C67">
            <w:pPr>
              <w:tabs>
                <w:tab w:val="left" w:pos="2700"/>
                <w:tab w:val="left" w:pos="5580"/>
              </w:tabs>
              <w:spacing w:line="240" w:lineRule="atLeast"/>
              <w:rPr>
                <w:rFonts w:ascii="Georgia" w:eastAsia="Calibri" w:hAnsi="Georgia" w:cs="Times New Roman"/>
                <w:sz w:val="20"/>
                <w:szCs w:val="20"/>
              </w:rPr>
            </w:pPr>
            <w:r w:rsidRPr="00FF2BE3">
              <w:rPr>
                <w:rFonts w:ascii="Georgia" w:eastAsia="Calibri" w:hAnsi="Georgia" w:cs="Times New Roman"/>
                <w:sz w:val="20"/>
                <w:szCs w:val="20"/>
              </w:rPr>
              <w:t>Time</w:t>
            </w:r>
          </w:p>
        </w:tc>
        <w:tc>
          <w:tcPr>
            <w:tcW w:w="2807" w:type="pct"/>
            <w:gridSpan w:val="2"/>
          </w:tcPr>
          <w:p w:rsidR="00AF6DAD" w:rsidRPr="00FF2BE3" w:rsidRDefault="00AF6DAD" w:rsidP="002D7C67">
            <w:pPr>
              <w:tabs>
                <w:tab w:val="left" w:pos="2700"/>
                <w:tab w:val="left" w:pos="5580"/>
              </w:tabs>
              <w:spacing w:line="240" w:lineRule="atLeast"/>
              <w:rPr>
                <w:rFonts w:ascii="Georgia" w:eastAsia="Calibri" w:hAnsi="Georgia" w:cs="Times New Roman"/>
                <w:sz w:val="20"/>
                <w:szCs w:val="20"/>
              </w:rPr>
            </w:pPr>
            <w:r w:rsidRPr="00FF2BE3">
              <w:rPr>
                <w:rFonts w:ascii="Georgia" w:eastAsia="Calibri" w:hAnsi="Georgia" w:cs="Times New Roman"/>
                <w:sz w:val="20"/>
                <w:szCs w:val="20"/>
              </w:rPr>
              <w:t>Topic</w:t>
            </w:r>
          </w:p>
        </w:tc>
        <w:tc>
          <w:tcPr>
            <w:tcW w:w="1296" w:type="pct"/>
          </w:tcPr>
          <w:p w:rsidR="00AF6DAD" w:rsidRPr="00FF2BE3" w:rsidRDefault="00AF6DAD" w:rsidP="002D7C67">
            <w:pPr>
              <w:tabs>
                <w:tab w:val="left" w:pos="2700"/>
                <w:tab w:val="left" w:pos="5580"/>
              </w:tabs>
              <w:spacing w:line="240" w:lineRule="atLeast"/>
              <w:rPr>
                <w:rFonts w:ascii="Georgia" w:eastAsia="Calibri" w:hAnsi="Georgia" w:cs="Times New Roman"/>
                <w:sz w:val="20"/>
                <w:szCs w:val="20"/>
              </w:rPr>
            </w:pPr>
            <w:r w:rsidRPr="00FF2BE3">
              <w:rPr>
                <w:rFonts w:ascii="Georgia" w:eastAsia="Calibri" w:hAnsi="Georgia" w:cs="Times New Roman"/>
                <w:sz w:val="20"/>
                <w:szCs w:val="20"/>
              </w:rPr>
              <w:t>Speaker</w:t>
            </w:r>
          </w:p>
        </w:tc>
      </w:tr>
      <w:tr w:rsidR="00DA768F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DA768F" w:rsidP="00DA768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5</w:t>
            </w:r>
            <w:r w:rsidR="00AF6DAD" w:rsidRPr="00AF6DAD">
              <w:rPr>
                <w:rFonts w:ascii="Georgia" w:hAnsi="Georgia"/>
                <w:sz w:val="20"/>
              </w:rPr>
              <w:t>:30</w:t>
            </w:r>
            <w:r>
              <w:rPr>
                <w:rFonts w:ascii="Georgia" w:hAnsi="Georgia"/>
                <w:sz w:val="20"/>
              </w:rPr>
              <w:t xml:space="preserve"> p.m.</w:t>
            </w:r>
            <w:r w:rsidR="00AF6DAD" w:rsidRPr="00AF6DAD">
              <w:rPr>
                <w:rFonts w:ascii="Georgia" w:hAnsi="Georgia"/>
                <w:sz w:val="20"/>
              </w:rPr>
              <w:t xml:space="preserve"> – </w:t>
            </w:r>
            <w:r>
              <w:rPr>
                <w:rFonts w:ascii="Georgia" w:hAnsi="Georgia"/>
                <w:sz w:val="20"/>
              </w:rPr>
              <w:t>7</w:t>
            </w:r>
            <w:r w:rsidR="00AF6DAD" w:rsidRPr="00AF6DAD">
              <w:rPr>
                <w:rFonts w:ascii="Georgia" w:hAnsi="Georgia"/>
                <w:sz w:val="20"/>
              </w:rPr>
              <w:t>:30</w:t>
            </w:r>
            <w:r>
              <w:rPr>
                <w:rFonts w:ascii="Georgia" w:hAnsi="Georgia"/>
                <w:sz w:val="20"/>
              </w:rPr>
              <w:t xml:space="preserve"> p.m.</w:t>
            </w:r>
          </w:p>
        </w:tc>
        <w:tc>
          <w:tcPr>
            <w:tcW w:w="1285" w:type="pct"/>
          </w:tcPr>
          <w:p w:rsidR="00AF6DAD" w:rsidRPr="00AF6DAD" w:rsidRDefault="00AF6DAD" w:rsidP="00CD0818">
            <w:pPr>
              <w:jc w:val="center"/>
              <w:rPr>
                <w:rFonts w:ascii="Georgia" w:hAnsi="Georgia"/>
                <w:b/>
                <w:sz w:val="20"/>
              </w:rPr>
            </w:pPr>
            <w:r w:rsidRPr="00AF6DAD">
              <w:rPr>
                <w:rFonts w:ascii="Georgia" w:hAnsi="Georgia"/>
                <w:b/>
                <w:sz w:val="20"/>
              </w:rPr>
              <w:t>Welcome Cocktail</w:t>
            </w:r>
          </w:p>
        </w:tc>
        <w:tc>
          <w:tcPr>
            <w:tcW w:w="1522" w:type="pct"/>
          </w:tcPr>
          <w:p w:rsidR="00AF6DAD" w:rsidRPr="00AF6DAD" w:rsidRDefault="00AF6DAD" w:rsidP="00C95868">
            <w:pPr>
              <w:rPr>
                <w:rFonts w:ascii="Georgia" w:hAnsi="Georgia"/>
                <w:sz w:val="20"/>
              </w:rPr>
            </w:pPr>
            <w:r w:rsidRPr="00AF6DAD">
              <w:rPr>
                <w:rFonts w:ascii="Georgia" w:hAnsi="Georgia"/>
                <w:sz w:val="20"/>
              </w:rPr>
              <w:t xml:space="preserve">Meet at Hotel Lobby for a 17:15 departure - </w:t>
            </w:r>
            <w:r w:rsidR="00C95868">
              <w:rPr>
                <w:rFonts w:ascii="Georgia" w:hAnsi="Georgia"/>
                <w:sz w:val="20"/>
              </w:rPr>
              <w:t>W</w:t>
            </w:r>
            <w:r w:rsidRPr="00AF6DAD">
              <w:rPr>
                <w:rFonts w:ascii="Georgia" w:hAnsi="Georgia"/>
                <w:sz w:val="20"/>
              </w:rPr>
              <w:t>alking</w:t>
            </w:r>
          </w:p>
        </w:tc>
        <w:tc>
          <w:tcPr>
            <w:tcW w:w="1296" w:type="pct"/>
          </w:tcPr>
          <w:p w:rsidR="00AF6DAD" w:rsidRPr="00AF6DAD" w:rsidRDefault="00AF6DAD" w:rsidP="00CD0818">
            <w:pPr>
              <w:rPr>
                <w:rFonts w:ascii="Georgia" w:hAnsi="Georgia"/>
                <w:sz w:val="20"/>
              </w:rPr>
            </w:pPr>
            <w:proofErr w:type="spellStart"/>
            <w:r w:rsidRPr="00AF6DAD">
              <w:rPr>
                <w:rFonts w:ascii="Georgia" w:hAnsi="Georgia"/>
                <w:sz w:val="20"/>
              </w:rPr>
              <w:t>Taverna</w:t>
            </w:r>
            <w:proofErr w:type="spellEnd"/>
          </w:p>
          <w:p w:rsidR="00AF6DAD" w:rsidRPr="00AF6DAD" w:rsidRDefault="00AF6DAD" w:rsidP="00CD0818">
            <w:pPr>
              <w:rPr>
                <w:rFonts w:ascii="Georgia" w:hAnsi="Georgia" w:cs="Arial"/>
                <w:sz w:val="20"/>
                <w:szCs w:val="20"/>
              </w:rPr>
            </w:pPr>
            <w:r w:rsidRPr="00AF6DAD">
              <w:rPr>
                <w:rFonts w:ascii="Georgia" w:hAnsi="Georgia" w:cs="Arial"/>
                <w:sz w:val="20"/>
              </w:rPr>
              <w:t>52 Belden Place</w:t>
            </w:r>
            <w:r w:rsidRPr="00AF6DAD">
              <w:rPr>
                <w:rFonts w:ascii="Georgia" w:hAnsi="Georgia" w:cs="Arial"/>
                <w:sz w:val="20"/>
                <w:szCs w:val="20"/>
              </w:rPr>
              <w:t xml:space="preserve"> </w:t>
            </w:r>
          </w:p>
        </w:tc>
      </w:tr>
    </w:tbl>
    <w:p w:rsidR="00AF6DAD" w:rsidRDefault="00AF6DAD"/>
    <w:p w:rsidR="00BD1674" w:rsidRDefault="00BD1674"/>
    <w:p w:rsidR="00BD1674" w:rsidRDefault="00BD1674"/>
    <w:p w:rsidR="00AF6DAD" w:rsidRPr="001553BA" w:rsidRDefault="00AF6DAD" w:rsidP="00A90780">
      <w:pPr>
        <w:spacing w:after="0"/>
        <w:rPr>
          <w:rFonts w:ascii="Georgia" w:hAnsi="Georgia" w:cs="Georgia"/>
          <w:b/>
          <w:bCs/>
          <w:i/>
          <w:sz w:val="24"/>
          <w:szCs w:val="24"/>
        </w:rPr>
      </w:pPr>
      <w:r w:rsidRPr="00AF6DAD">
        <w:rPr>
          <w:rFonts w:ascii="Georgia" w:hAnsi="Georgia" w:cs="Georgia"/>
          <w:b/>
          <w:bCs/>
          <w:sz w:val="24"/>
          <w:szCs w:val="24"/>
        </w:rPr>
        <w:lastRenderedPageBreak/>
        <w:t>Monday June 2</w:t>
      </w:r>
      <w:r>
        <w:rPr>
          <w:rFonts w:ascii="Georgia" w:hAnsi="Georgia" w:cs="Georgia"/>
          <w:b/>
          <w:bCs/>
          <w:sz w:val="24"/>
          <w:szCs w:val="24"/>
        </w:rPr>
        <w:br/>
      </w:r>
      <w:r w:rsidR="00A90780" w:rsidRPr="001553BA">
        <w:rPr>
          <w:rFonts w:ascii="Georgia" w:eastAsia="Times New Roman" w:hAnsi="Georgia" w:cs="Times New Roman"/>
          <w:bCs/>
          <w:i/>
          <w:sz w:val="24"/>
          <w:szCs w:val="24"/>
        </w:rPr>
        <w:t>Wells Fargo Learning and Event Center, 333 Market Street, Annex Building, 2nd Floor</w:t>
      </w:r>
    </w:p>
    <w:tbl>
      <w:tblPr>
        <w:tblStyle w:val="MediumGrid3-Accent4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366"/>
        <w:gridCol w:w="3390"/>
        <w:gridCol w:w="4015"/>
        <w:gridCol w:w="3419"/>
      </w:tblGrid>
      <w:tr w:rsidR="00AF6DAD" w:rsidRPr="00AF6DAD" w:rsidTr="002D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97" w:type="pct"/>
          </w:tcPr>
          <w:p w:rsidR="00AF6DAD" w:rsidRPr="00FF2BE3" w:rsidRDefault="00AF6DAD" w:rsidP="002D7C67">
            <w:pPr>
              <w:tabs>
                <w:tab w:val="left" w:pos="2700"/>
                <w:tab w:val="left" w:pos="5580"/>
              </w:tabs>
              <w:spacing w:line="240" w:lineRule="atLeast"/>
              <w:rPr>
                <w:rFonts w:ascii="Georgia" w:eastAsia="Calibri" w:hAnsi="Georgia" w:cs="Times New Roman"/>
                <w:sz w:val="20"/>
                <w:szCs w:val="20"/>
              </w:rPr>
            </w:pPr>
            <w:r w:rsidRPr="00FF2BE3">
              <w:rPr>
                <w:rFonts w:ascii="Georgia" w:eastAsia="Calibri" w:hAnsi="Georgia" w:cs="Times New Roman"/>
                <w:sz w:val="20"/>
                <w:szCs w:val="20"/>
              </w:rPr>
              <w:t>Time</w:t>
            </w:r>
          </w:p>
        </w:tc>
        <w:tc>
          <w:tcPr>
            <w:tcW w:w="2807" w:type="pct"/>
            <w:gridSpan w:val="2"/>
          </w:tcPr>
          <w:p w:rsidR="00AF6DAD" w:rsidRPr="00FF2BE3" w:rsidRDefault="00970923" w:rsidP="002D7C67">
            <w:pPr>
              <w:tabs>
                <w:tab w:val="left" w:pos="2700"/>
                <w:tab w:val="left" w:pos="5580"/>
              </w:tabs>
              <w:spacing w:line="240" w:lineRule="atLeast"/>
              <w:rPr>
                <w:rFonts w:ascii="Georgia" w:eastAsia="Calibri" w:hAnsi="Georgia" w:cs="Times New Roman"/>
                <w:sz w:val="20"/>
                <w:szCs w:val="20"/>
              </w:rPr>
            </w:pPr>
            <w:r w:rsidRPr="00FF2BE3">
              <w:rPr>
                <w:rFonts w:ascii="Georgia" w:eastAsia="Calibri" w:hAnsi="Georgia" w:cs="Times New Roman"/>
                <w:sz w:val="20"/>
                <w:szCs w:val="20"/>
              </w:rPr>
              <w:t>Topic</w:t>
            </w:r>
          </w:p>
        </w:tc>
        <w:tc>
          <w:tcPr>
            <w:tcW w:w="1296" w:type="pct"/>
          </w:tcPr>
          <w:p w:rsidR="00AF6DAD" w:rsidRPr="00FF2BE3" w:rsidRDefault="00AF6DAD" w:rsidP="002D7C67">
            <w:pPr>
              <w:tabs>
                <w:tab w:val="left" w:pos="2700"/>
                <w:tab w:val="left" w:pos="5580"/>
              </w:tabs>
              <w:spacing w:line="240" w:lineRule="atLeast"/>
              <w:rPr>
                <w:rFonts w:ascii="Georgia" w:eastAsia="Calibri" w:hAnsi="Georgia" w:cs="Times New Roman"/>
                <w:sz w:val="20"/>
                <w:szCs w:val="20"/>
              </w:rPr>
            </w:pPr>
            <w:r w:rsidRPr="00FF2BE3">
              <w:rPr>
                <w:rFonts w:ascii="Georgia" w:eastAsia="Calibri" w:hAnsi="Georgia" w:cs="Times New Roman"/>
                <w:sz w:val="20"/>
                <w:szCs w:val="20"/>
              </w:rPr>
              <w:t>Speaker</w:t>
            </w:r>
          </w:p>
        </w:tc>
      </w:tr>
      <w:tr w:rsidR="00AF6DAD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AF6DAD" w:rsidP="00DA768F">
            <w:pPr>
              <w:ind w:left="72"/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</w:pPr>
            <w:r w:rsidRPr="00AF6DAD"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  <w:t xml:space="preserve">7:45 </w:t>
            </w:r>
            <w:r w:rsidR="00DA768F"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  <w:t>a.m.</w:t>
            </w:r>
            <w:r w:rsidRPr="00AF6DAD"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  <w:t>– 8:30</w:t>
            </w:r>
            <w:r w:rsidR="00DA768F"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AF6DAD" w:rsidRPr="00AF6DAD" w:rsidRDefault="00AF6DAD" w:rsidP="00C70A6D">
            <w:pPr>
              <w:jc w:val="center"/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</w:pPr>
            <w:r w:rsidRPr="00C70A6D">
              <w:rPr>
                <w:rFonts w:ascii="Georgia" w:hAnsi="Georgia"/>
                <w:b/>
                <w:sz w:val="20"/>
                <w:szCs w:val="20"/>
              </w:rPr>
              <w:t>Breakfast</w:t>
            </w:r>
          </w:p>
        </w:tc>
        <w:tc>
          <w:tcPr>
            <w:tcW w:w="1522" w:type="pct"/>
          </w:tcPr>
          <w:p w:rsidR="00AF6DAD" w:rsidRPr="00AF6DAD" w:rsidRDefault="00AF6DAD" w:rsidP="003877DB">
            <w:pPr>
              <w:ind w:left="72"/>
              <w:jc w:val="center"/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</w:pPr>
          </w:p>
        </w:tc>
        <w:tc>
          <w:tcPr>
            <w:tcW w:w="1296" w:type="pct"/>
          </w:tcPr>
          <w:p w:rsidR="00AF6DAD" w:rsidRPr="00AF6DAD" w:rsidRDefault="00AF6DAD" w:rsidP="003877DB">
            <w:pPr>
              <w:ind w:left="72"/>
              <w:jc w:val="center"/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</w:pPr>
            <w:r w:rsidRPr="00AF6DAD">
              <w:rPr>
                <w:rFonts w:ascii="Georgia" w:eastAsia="Archer Book" w:hAnsi="Georgia" w:cs="Archer Book"/>
                <w:bCs/>
                <w:color w:val="231F20"/>
                <w:spacing w:val="-10"/>
                <w:sz w:val="20"/>
                <w:szCs w:val="20"/>
              </w:rPr>
              <w:t>Learning Center</w:t>
            </w:r>
          </w:p>
        </w:tc>
      </w:tr>
      <w:tr w:rsidR="00AF6DAD" w:rsidRPr="00AF6DAD" w:rsidTr="00A90780">
        <w:tc>
          <w:tcPr>
            <w:tcW w:w="897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8:30 </w:t>
            </w:r>
            <w:r w:rsidR="00DA768F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8:45</w:t>
            </w:r>
            <w:r w:rsidR="00DA768F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AF6DAD" w:rsidRPr="00AF6DAD" w:rsidRDefault="00AF6DAD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Welcome to the 5</w:t>
            </w:r>
            <w:r w:rsidRPr="00AF6DAD">
              <w:rPr>
                <w:rFonts w:ascii="Georgia" w:hAnsi="Georgia"/>
                <w:b/>
                <w:sz w:val="20"/>
                <w:szCs w:val="20"/>
                <w:vertAlign w:val="superscript"/>
              </w:rPr>
              <w:t>th</w:t>
            </w:r>
            <w:r w:rsidRPr="00AF6DAD">
              <w:rPr>
                <w:rFonts w:ascii="Georgia" w:hAnsi="Georgia"/>
                <w:b/>
                <w:sz w:val="20"/>
                <w:szCs w:val="20"/>
              </w:rPr>
              <w:t xml:space="preserve"> Annual GPAG Conference</w:t>
            </w:r>
          </w:p>
        </w:tc>
        <w:tc>
          <w:tcPr>
            <w:tcW w:w="1522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F6DAD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AF6DAD" w:rsidP="00814BF9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8:45 </w:t>
            </w:r>
            <w:r w:rsidR="00DA768F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9:00</w:t>
            </w:r>
            <w:r w:rsidR="00DA768F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AF6DAD" w:rsidRPr="00AF6DAD" w:rsidRDefault="00AF6DAD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Opening Remarks</w:t>
            </w:r>
          </w:p>
        </w:tc>
        <w:tc>
          <w:tcPr>
            <w:tcW w:w="1522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AF6DAD" w:rsidRPr="00AF6DAD" w:rsidRDefault="00AB2032" w:rsidP="00BD4470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Chuck Silverman, Wells Fargo Head of Financial Institutions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</w:tc>
      </w:tr>
      <w:tr w:rsidR="00AF6DAD" w:rsidRPr="00AF6DAD" w:rsidTr="00DA768F">
        <w:tc>
          <w:tcPr>
            <w:tcW w:w="897" w:type="pct"/>
          </w:tcPr>
          <w:p w:rsidR="00AF6DAD" w:rsidRPr="00AF6DAD" w:rsidRDefault="00AF6DAD" w:rsidP="00814BF9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9:00 </w:t>
            </w:r>
            <w:r w:rsidR="00DA768F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10:30</w:t>
            </w:r>
            <w:r w:rsidR="00DA768F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AF6DAD" w:rsidRPr="00AF6DAD" w:rsidRDefault="00AF6DAD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Transaction Banking Roundtable</w:t>
            </w:r>
          </w:p>
        </w:tc>
        <w:tc>
          <w:tcPr>
            <w:tcW w:w="1522" w:type="pct"/>
          </w:tcPr>
          <w:p w:rsidR="00AF6DAD" w:rsidRPr="00AF6DAD" w:rsidRDefault="00AF6DAD" w:rsidP="005B0B33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The Panelists will discuss the evolving challenges facing Transaction Banking.  </w:t>
            </w:r>
          </w:p>
          <w:p w:rsidR="00AF6DAD" w:rsidRPr="00AF6DAD" w:rsidRDefault="00AF6DAD" w:rsidP="00522947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Is correspondent banking being replaced by Vendor Management?</w:t>
            </w:r>
          </w:p>
          <w:p w:rsidR="00AF6DAD" w:rsidRPr="00AF6DAD" w:rsidRDefault="00AF6DAD" w:rsidP="00522947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How should we as providers organize within our banks to respond to the evolving transaction banking environment</w:t>
            </w:r>
          </w:p>
          <w:p w:rsidR="00AF6DAD" w:rsidRPr="00AF6DAD" w:rsidRDefault="00AF6DAD" w:rsidP="00522947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Are payments a core business for banks or should they be outsourced</w:t>
            </w:r>
          </w:p>
          <w:p w:rsidR="00AF6DAD" w:rsidRPr="00AF6DAD" w:rsidRDefault="00AF6DAD" w:rsidP="00522947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What pricing strategy ensures a profitable transaction business given increasing demand for investment for regulatory purposes</w:t>
            </w:r>
          </w:p>
          <w:p w:rsidR="00AF6DAD" w:rsidRPr="00AF6DAD" w:rsidRDefault="00AF6DAD" w:rsidP="000E0FB3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How will the transparency directives affect transaction businesses</w:t>
            </w:r>
          </w:p>
        </w:tc>
        <w:tc>
          <w:tcPr>
            <w:tcW w:w="1296" w:type="pct"/>
          </w:tcPr>
          <w:p w:rsidR="00A90780" w:rsidRDefault="00A90780" w:rsidP="0021400D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Panel Discussion:</w:t>
            </w:r>
          </w:p>
          <w:p w:rsidR="00A90780" w:rsidRDefault="00A90780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George Doolittle, Head of Global Payment Services, Wells Fargo (Moderator)</w:t>
            </w:r>
          </w:p>
          <w:p w:rsidR="003F1E37" w:rsidRDefault="003F1E37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Peter Connelly, Head of Global Transaction Banking, Wells Fargo</w:t>
            </w:r>
          </w:p>
          <w:p w:rsidR="00A90780" w:rsidRDefault="00AF6DAD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90780">
              <w:rPr>
                <w:rFonts w:ascii="Georgia" w:hAnsi="Georgia"/>
                <w:sz w:val="20"/>
                <w:szCs w:val="20"/>
              </w:rPr>
              <w:t xml:space="preserve">Pascal </w:t>
            </w:r>
            <w:proofErr w:type="spellStart"/>
            <w:r w:rsidRPr="00A90780">
              <w:rPr>
                <w:rFonts w:ascii="Georgia" w:hAnsi="Georgia"/>
                <w:sz w:val="20"/>
                <w:szCs w:val="20"/>
              </w:rPr>
              <w:t>Augé</w:t>
            </w:r>
            <w:proofErr w:type="spellEnd"/>
            <w:r w:rsidRPr="00A90780">
              <w:rPr>
                <w:rFonts w:ascii="Georgia" w:hAnsi="Georgia"/>
                <w:sz w:val="20"/>
                <w:szCs w:val="20"/>
              </w:rPr>
              <w:t xml:space="preserve">, </w:t>
            </w:r>
            <w:proofErr w:type="spellStart"/>
            <w:r w:rsidRPr="00A90780">
              <w:rPr>
                <w:rFonts w:ascii="Georgia" w:hAnsi="Georgia"/>
                <w:sz w:val="20"/>
                <w:szCs w:val="20"/>
              </w:rPr>
              <w:t>Societe</w:t>
            </w:r>
            <w:proofErr w:type="spellEnd"/>
            <w:r w:rsidRPr="00A90780">
              <w:rPr>
                <w:rFonts w:ascii="Georgia" w:hAnsi="Georgia"/>
                <w:sz w:val="20"/>
                <w:szCs w:val="20"/>
              </w:rPr>
              <w:t xml:space="preserve"> </w:t>
            </w:r>
            <w:proofErr w:type="spellStart"/>
            <w:r w:rsidRPr="00A90780">
              <w:rPr>
                <w:rFonts w:ascii="Georgia" w:hAnsi="Georgia"/>
                <w:sz w:val="20"/>
                <w:szCs w:val="20"/>
              </w:rPr>
              <w:t>Generale</w:t>
            </w:r>
            <w:proofErr w:type="spellEnd"/>
            <w:r w:rsidRPr="00A90780">
              <w:rPr>
                <w:rFonts w:ascii="Georgia" w:hAnsi="Georgia"/>
                <w:sz w:val="20"/>
                <w:szCs w:val="20"/>
              </w:rPr>
              <w:t xml:space="preserve"> Head of Transaction Banking and Payments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  <w:p w:rsidR="00A90780" w:rsidRDefault="00A90780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ASIA (TB</w:t>
            </w:r>
            <w:r w:rsidR="00BD4470">
              <w:rPr>
                <w:rFonts w:ascii="Georgia" w:hAnsi="Georgia"/>
                <w:sz w:val="20"/>
                <w:szCs w:val="20"/>
              </w:rPr>
              <w:t>C</w:t>
            </w:r>
            <w:r>
              <w:rPr>
                <w:rFonts w:ascii="Georgia" w:hAnsi="Georgia"/>
                <w:sz w:val="20"/>
                <w:szCs w:val="20"/>
              </w:rPr>
              <w:t>)</w:t>
            </w:r>
          </w:p>
          <w:p w:rsidR="003F1E37" w:rsidRPr="00A90780" w:rsidRDefault="003F1E37" w:rsidP="00BD447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External consultant (TB</w:t>
            </w:r>
            <w:r w:rsidR="00BD4470">
              <w:rPr>
                <w:rFonts w:ascii="Georgia" w:hAnsi="Georgia"/>
                <w:sz w:val="20"/>
                <w:szCs w:val="20"/>
              </w:rPr>
              <w:t>C</w:t>
            </w:r>
            <w:r>
              <w:rPr>
                <w:rFonts w:ascii="Georgia" w:hAnsi="Georgia"/>
                <w:sz w:val="20"/>
                <w:szCs w:val="20"/>
              </w:rPr>
              <w:t>)</w:t>
            </w:r>
          </w:p>
        </w:tc>
      </w:tr>
      <w:tr w:rsidR="00AF6DAD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AF6DAD" w:rsidP="00814BF9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10:30</w:t>
            </w:r>
            <w:r w:rsidR="00DA768F">
              <w:rPr>
                <w:rFonts w:ascii="Georgia" w:hAnsi="Georgia"/>
                <w:sz w:val="20"/>
                <w:szCs w:val="20"/>
              </w:rPr>
              <w:t xml:space="preserve"> a.m.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 – 10:45</w:t>
            </w:r>
            <w:r w:rsidR="00DA768F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AF6DAD" w:rsidRPr="00AF6DAD" w:rsidRDefault="00AF6DAD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  <w:tc>
          <w:tcPr>
            <w:tcW w:w="1522" w:type="pct"/>
          </w:tcPr>
          <w:p w:rsidR="00AF6DAD" w:rsidRPr="00AF6DAD" w:rsidRDefault="00AF6DAD" w:rsidP="00E12884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AF6DAD" w:rsidRPr="00AF6DAD" w:rsidRDefault="00AF6DAD" w:rsidP="00E1288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F6DAD" w:rsidRPr="00AF6DAD" w:rsidTr="00DA768F">
        <w:tc>
          <w:tcPr>
            <w:tcW w:w="897" w:type="pct"/>
          </w:tcPr>
          <w:p w:rsidR="00AF6DAD" w:rsidRPr="00AF6DAD" w:rsidRDefault="00AF6DAD" w:rsidP="00281B22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10:45 </w:t>
            </w:r>
            <w:r w:rsidR="00DA768F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– </w:t>
            </w:r>
            <w:r w:rsidR="00281B22">
              <w:rPr>
                <w:rFonts w:ascii="Georgia" w:hAnsi="Georgia"/>
                <w:sz w:val="20"/>
                <w:szCs w:val="20"/>
              </w:rPr>
              <w:t>12</w:t>
            </w:r>
            <w:r w:rsidRPr="00AF6DAD">
              <w:rPr>
                <w:rFonts w:ascii="Georgia" w:hAnsi="Georgia"/>
                <w:sz w:val="20"/>
                <w:szCs w:val="20"/>
              </w:rPr>
              <w:t>:</w:t>
            </w:r>
            <w:r w:rsidR="00281B22">
              <w:rPr>
                <w:rFonts w:ascii="Georgia" w:hAnsi="Georgia"/>
                <w:sz w:val="20"/>
                <w:szCs w:val="20"/>
              </w:rPr>
              <w:t>0</w:t>
            </w:r>
            <w:r w:rsidRPr="00AF6DAD">
              <w:rPr>
                <w:rFonts w:ascii="Georgia" w:hAnsi="Georgia"/>
                <w:sz w:val="20"/>
                <w:szCs w:val="20"/>
              </w:rPr>
              <w:t>0</w:t>
            </w:r>
            <w:r w:rsidR="00DA768F">
              <w:rPr>
                <w:rFonts w:ascii="Georgia" w:hAnsi="Georgia"/>
                <w:sz w:val="20"/>
                <w:szCs w:val="20"/>
              </w:rPr>
              <w:t xml:space="preserve"> </w:t>
            </w:r>
            <w:r w:rsidR="00281B22">
              <w:rPr>
                <w:rFonts w:ascii="Georgia" w:hAnsi="Georgia"/>
                <w:sz w:val="20"/>
                <w:szCs w:val="20"/>
              </w:rPr>
              <w:t>p</w:t>
            </w:r>
            <w:r w:rsidR="00DA768F">
              <w:rPr>
                <w:rFonts w:ascii="Georgia" w:hAnsi="Georgia"/>
                <w:sz w:val="20"/>
                <w:szCs w:val="20"/>
              </w:rPr>
              <w:t>.m.</w:t>
            </w:r>
          </w:p>
        </w:tc>
        <w:tc>
          <w:tcPr>
            <w:tcW w:w="1285" w:type="pct"/>
          </w:tcPr>
          <w:p w:rsidR="00AF6DAD" w:rsidRPr="00AF6DAD" w:rsidRDefault="00281B22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Operating and Settlement Risk and Regulations, Including the OCC Third Party relationship regulation</w:t>
            </w:r>
          </w:p>
        </w:tc>
        <w:tc>
          <w:tcPr>
            <w:tcW w:w="1522" w:type="pct"/>
          </w:tcPr>
          <w:p w:rsidR="00AF6DAD" w:rsidRPr="00AF6DAD" w:rsidRDefault="00281B22" w:rsidP="00281B22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New regulation to manage operational and settlement risk is being introduced in the US which will impact banks around the world.</w:t>
            </w:r>
          </w:p>
        </w:tc>
        <w:tc>
          <w:tcPr>
            <w:tcW w:w="1296" w:type="pct"/>
          </w:tcPr>
          <w:p w:rsidR="00281B22" w:rsidRPr="00A118DA" w:rsidRDefault="00281B22" w:rsidP="00281B22">
            <w:pPr>
              <w:rPr>
                <w:rFonts w:ascii="Georgia" w:hAnsi="Georgia"/>
                <w:sz w:val="20"/>
                <w:szCs w:val="20"/>
              </w:rPr>
            </w:pPr>
            <w:r w:rsidRPr="00A118DA">
              <w:rPr>
                <w:rFonts w:ascii="Georgia" w:hAnsi="Georgia"/>
                <w:sz w:val="20"/>
                <w:szCs w:val="20"/>
              </w:rPr>
              <w:t>Panel Discussion:</w:t>
            </w:r>
          </w:p>
          <w:p w:rsidR="00281B22" w:rsidRDefault="00281B22" w:rsidP="00281B22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Chuck Kohler, EVP, Global Payment Services, Wells Fargo</w:t>
            </w:r>
          </w:p>
          <w:p w:rsidR="00281B22" w:rsidRDefault="00281B22" w:rsidP="00281B22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Russ F</w:t>
            </w:r>
            <w:r>
              <w:rPr>
                <w:rFonts w:ascii="Georgia" w:hAnsi="Georgia"/>
                <w:sz w:val="20"/>
                <w:szCs w:val="20"/>
              </w:rPr>
              <w:t>itzgibbons, The Clearing House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  <w:p w:rsidR="00AF6DAD" w:rsidRPr="00281B22" w:rsidRDefault="00281B22" w:rsidP="00281B22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281B22">
              <w:rPr>
                <w:rFonts w:ascii="Georgia" w:hAnsi="Georgia"/>
                <w:sz w:val="20"/>
                <w:szCs w:val="20"/>
              </w:rPr>
              <w:t>Duane Lindquist, Wells Fargo Legal Counsel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</w:tc>
      </w:tr>
      <w:tr w:rsidR="00AF6DAD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AF6DAD" w:rsidP="00281B22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1</w:t>
            </w:r>
            <w:r w:rsidR="00281B22">
              <w:rPr>
                <w:rFonts w:ascii="Georgia" w:hAnsi="Georgia"/>
                <w:sz w:val="20"/>
                <w:szCs w:val="20"/>
              </w:rPr>
              <w:t>2</w:t>
            </w:r>
            <w:r w:rsidRPr="00AF6DAD">
              <w:rPr>
                <w:rFonts w:ascii="Georgia" w:hAnsi="Georgia"/>
                <w:sz w:val="20"/>
                <w:szCs w:val="20"/>
              </w:rPr>
              <w:t>:</w:t>
            </w:r>
            <w:r w:rsidR="00281B22">
              <w:rPr>
                <w:rFonts w:ascii="Georgia" w:hAnsi="Georgia"/>
                <w:sz w:val="20"/>
                <w:szCs w:val="20"/>
              </w:rPr>
              <w:t>0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0 </w:t>
            </w:r>
            <w:r w:rsidR="00DA768F">
              <w:rPr>
                <w:rFonts w:ascii="Georgia" w:hAnsi="Georgia"/>
                <w:sz w:val="20"/>
                <w:szCs w:val="20"/>
              </w:rPr>
              <w:t>p.m.</w:t>
            </w:r>
            <w:r w:rsidRPr="00AF6DAD">
              <w:rPr>
                <w:rFonts w:ascii="Georgia" w:hAnsi="Georgia"/>
                <w:sz w:val="20"/>
                <w:szCs w:val="20"/>
              </w:rPr>
              <w:t>– 1:30</w:t>
            </w:r>
            <w:r w:rsidR="00DA768F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AF6DAD" w:rsidRPr="00AF6DAD" w:rsidRDefault="00AF6DAD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Lunch</w:t>
            </w:r>
          </w:p>
        </w:tc>
        <w:tc>
          <w:tcPr>
            <w:tcW w:w="1522" w:type="pct"/>
          </w:tcPr>
          <w:p w:rsidR="00AF6DAD" w:rsidRPr="00AF6DAD" w:rsidRDefault="00BD4470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Learn more about 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C</w:t>
            </w:r>
            <w:r w:rsidR="00FB6D27" w:rsidRPr="00FB6D27">
              <w:rPr>
                <w:rFonts w:ascii="Georgia" w:hAnsi="Georgia"/>
                <w:sz w:val="20"/>
                <w:szCs w:val="20"/>
              </w:rPr>
              <w:t>learXchange</w:t>
            </w:r>
            <w:proofErr w:type="spellEnd"/>
            <w:r w:rsidR="00FB6D27" w:rsidRPr="00FB6D27">
              <w:rPr>
                <w:rFonts w:ascii="Georgia" w:hAnsi="Georgia"/>
                <w:sz w:val="20"/>
                <w:szCs w:val="20"/>
              </w:rPr>
              <w:t xml:space="preserve"> (CXC)  </w:t>
            </w:r>
            <w:r w:rsidR="00FB6D27" w:rsidRPr="00FB6D27">
              <w:rPr>
                <w:rFonts w:ascii="Georgia" w:hAnsi="Georgia"/>
                <w:sz w:val="20"/>
                <w:szCs w:val="20"/>
              </w:rPr>
              <w:lastRenderedPageBreak/>
              <w:t>the first network in the U.S. created by and for financial institutions that lets customers send person-to-person (P2P) payments easily and securely</w:t>
            </w:r>
          </w:p>
        </w:tc>
        <w:tc>
          <w:tcPr>
            <w:tcW w:w="1296" w:type="pct"/>
          </w:tcPr>
          <w:p w:rsidR="003F1E37" w:rsidRPr="003F1E37" w:rsidRDefault="003F1E37" w:rsidP="003F1E37">
            <w:pPr>
              <w:rPr>
                <w:rFonts w:ascii="Georgia" w:hAnsi="Georgia"/>
                <w:sz w:val="20"/>
                <w:szCs w:val="20"/>
              </w:rPr>
            </w:pPr>
            <w:r w:rsidRPr="003F1E37">
              <w:rPr>
                <w:rFonts w:ascii="Georgia" w:hAnsi="Georgia"/>
                <w:sz w:val="20"/>
                <w:szCs w:val="20"/>
              </w:rPr>
              <w:lastRenderedPageBreak/>
              <w:t xml:space="preserve">Mike Kennedy </w:t>
            </w:r>
            <w:r>
              <w:rPr>
                <w:rFonts w:ascii="Georgia" w:hAnsi="Georgia"/>
                <w:sz w:val="20"/>
                <w:szCs w:val="20"/>
              </w:rPr>
              <w:t xml:space="preserve">, </w:t>
            </w:r>
            <w:proofErr w:type="spellStart"/>
            <w:r w:rsidR="00BD4470">
              <w:rPr>
                <w:rFonts w:ascii="Georgia" w:hAnsi="Georgia"/>
                <w:sz w:val="20"/>
                <w:szCs w:val="20"/>
              </w:rPr>
              <w:t>C</w:t>
            </w:r>
            <w:r w:rsidRPr="003F1E37">
              <w:rPr>
                <w:rFonts w:ascii="Georgia" w:hAnsi="Georgia"/>
                <w:sz w:val="20"/>
                <w:szCs w:val="20"/>
              </w:rPr>
              <w:t>learXchange</w:t>
            </w:r>
            <w:proofErr w:type="spellEnd"/>
          </w:p>
          <w:p w:rsidR="003F1E37" w:rsidRPr="003F1E37" w:rsidRDefault="003F1E37" w:rsidP="003F1E37">
            <w:pPr>
              <w:rPr>
                <w:rFonts w:ascii="Georgia" w:hAnsi="Georgia"/>
                <w:sz w:val="20"/>
                <w:szCs w:val="20"/>
              </w:rPr>
            </w:pPr>
            <w:r w:rsidRPr="003F1E37">
              <w:rPr>
                <w:rFonts w:ascii="Georgia" w:hAnsi="Georgia"/>
                <w:sz w:val="20"/>
                <w:szCs w:val="20"/>
              </w:rPr>
              <w:lastRenderedPageBreak/>
              <w:t>CEO &amp; Co-Founder</w:t>
            </w:r>
          </w:p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281B22" w:rsidRPr="00AF6DAD" w:rsidTr="00DA768F">
        <w:tc>
          <w:tcPr>
            <w:tcW w:w="897" w:type="pct"/>
          </w:tcPr>
          <w:p w:rsidR="00281B22" w:rsidRDefault="00281B22" w:rsidP="00814BF9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lastRenderedPageBreak/>
              <w:t>1:30 p.m. – 1:45 p.m.</w:t>
            </w:r>
          </w:p>
        </w:tc>
        <w:tc>
          <w:tcPr>
            <w:tcW w:w="1285" w:type="pct"/>
          </w:tcPr>
          <w:p w:rsidR="00281B22" w:rsidRPr="00AF6DAD" w:rsidRDefault="00281B22" w:rsidP="00FA3DCF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  <w:tc>
          <w:tcPr>
            <w:tcW w:w="1522" w:type="pct"/>
          </w:tcPr>
          <w:p w:rsidR="00281B22" w:rsidRPr="00AF6DAD" w:rsidRDefault="00281B22" w:rsidP="00FA3DCF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281B22" w:rsidRPr="00AF6DAD" w:rsidRDefault="00281B22" w:rsidP="00FA3DCF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F6DAD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DA768F" w:rsidP="00281B22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1:</w:t>
            </w:r>
            <w:r w:rsidR="00281B22">
              <w:rPr>
                <w:rFonts w:ascii="Georgia" w:hAnsi="Georgia"/>
                <w:sz w:val="20"/>
                <w:szCs w:val="20"/>
              </w:rPr>
              <w:t>45</w:t>
            </w:r>
            <w:r>
              <w:rPr>
                <w:rFonts w:ascii="Georgia" w:hAnsi="Georgia"/>
                <w:sz w:val="20"/>
                <w:szCs w:val="20"/>
              </w:rPr>
              <w:t xml:space="preserve"> p.m.– 2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>:45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AF6DAD" w:rsidRPr="00AF6DAD" w:rsidRDefault="00AF6DAD" w:rsidP="00FA3DCF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My conversations with the regulators</w:t>
            </w:r>
          </w:p>
        </w:tc>
        <w:tc>
          <w:tcPr>
            <w:tcW w:w="1522" w:type="pct"/>
          </w:tcPr>
          <w:p w:rsidR="00AF6DAD" w:rsidRPr="00AF6DAD" w:rsidRDefault="00AF6DAD" w:rsidP="00FA3DCF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An insight into the risk management of a global bank</w:t>
            </w:r>
          </w:p>
        </w:tc>
        <w:tc>
          <w:tcPr>
            <w:tcW w:w="1296" w:type="pct"/>
          </w:tcPr>
          <w:p w:rsidR="00AF6DAD" w:rsidRPr="00AF6DAD" w:rsidRDefault="00AF6DAD" w:rsidP="00FA3DCF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Jim Richards, Wells Fargo Corporate Enterprise Risk Management Program Executive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  <w:r w:rsidRPr="00AF6DA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AF6DAD" w:rsidRPr="00AF6DAD" w:rsidRDefault="00AF6DAD" w:rsidP="00FA3DCF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F6DAD" w:rsidRPr="00AF6DAD" w:rsidTr="00DA768F">
        <w:tc>
          <w:tcPr>
            <w:tcW w:w="897" w:type="pct"/>
          </w:tcPr>
          <w:p w:rsidR="00AF6DAD" w:rsidRPr="00AF6DAD" w:rsidRDefault="00DA768F" w:rsidP="00814BF9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 xml:space="preserve">:45 </w:t>
            </w:r>
            <w:r>
              <w:rPr>
                <w:rFonts w:ascii="Georgia" w:hAnsi="Georgia"/>
                <w:sz w:val="20"/>
                <w:szCs w:val="20"/>
              </w:rPr>
              <w:t>p.m.– 3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AF6DAD" w:rsidRPr="00AF6DAD" w:rsidRDefault="00281B22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  <w:tc>
          <w:tcPr>
            <w:tcW w:w="1522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AF6DAD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DA768F" w:rsidP="006049E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 xml:space="preserve">:00 </w:t>
            </w:r>
            <w:r>
              <w:rPr>
                <w:rFonts w:ascii="Georgia" w:hAnsi="Georgia"/>
                <w:sz w:val="20"/>
                <w:szCs w:val="20"/>
              </w:rPr>
              <w:t>p.m.– 4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AF6DAD" w:rsidRPr="00AF6DAD" w:rsidRDefault="00AF6DAD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Avatar Currencies</w:t>
            </w:r>
          </w:p>
        </w:tc>
        <w:tc>
          <w:tcPr>
            <w:tcW w:w="1522" w:type="pct"/>
          </w:tcPr>
          <w:p w:rsidR="00AF6DAD" w:rsidRPr="00AF6DAD" w:rsidRDefault="00AF6DAD" w:rsidP="00FF73E0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Learn more about virtual currencies the risks and impact to the banking system</w:t>
            </w:r>
          </w:p>
          <w:p w:rsidR="00AF6DAD" w:rsidRPr="00AF6DAD" w:rsidRDefault="00AF6DAD" w:rsidP="00FF73E0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“Virtual currencies, most notably </w:t>
            </w:r>
            <w:proofErr w:type="spellStart"/>
            <w:r w:rsidRPr="00AF6DAD">
              <w:rPr>
                <w:rFonts w:ascii="Georgia" w:hAnsi="Georgia"/>
                <w:sz w:val="20"/>
                <w:szCs w:val="20"/>
              </w:rPr>
              <w:t>Bitcoin</w:t>
            </w:r>
            <w:proofErr w:type="spellEnd"/>
            <w:r w:rsidRPr="00AF6DAD">
              <w:rPr>
                <w:rFonts w:ascii="Georgia" w:hAnsi="Georgia"/>
                <w:sz w:val="20"/>
                <w:szCs w:val="20"/>
              </w:rPr>
              <w:t>, have captured the imagination of some, struck fear among others, and confused the heck out of the rest of us.”</w:t>
            </w:r>
          </w:p>
          <w:p w:rsidR="00AF6DAD" w:rsidRPr="00AF6DAD" w:rsidRDefault="00AF6DAD" w:rsidP="00FF73E0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-Senator Thomas Carper (Delaware), Chairman of the Senate Homeland Security Committee on Virtual</w:t>
            </w:r>
          </w:p>
          <w:p w:rsidR="00AF6DAD" w:rsidRPr="00AF6DAD" w:rsidRDefault="00AF6DAD" w:rsidP="00FF73E0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Currencies (November 18, 2013)</w:t>
            </w:r>
          </w:p>
        </w:tc>
        <w:tc>
          <w:tcPr>
            <w:tcW w:w="1296" w:type="pct"/>
          </w:tcPr>
          <w:p w:rsidR="00A90780" w:rsidRDefault="00A90780" w:rsidP="00A90780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Panel Discussion:</w:t>
            </w:r>
          </w:p>
          <w:p w:rsidR="00A90780" w:rsidRDefault="00AF6DAD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Graham Bailey, Wells Fargo Financial Crimes Unit; </w:t>
            </w:r>
          </w:p>
          <w:p w:rsidR="00AF6DAD" w:rsidRDefault="00AF6DAD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Trish </w:t>
            </w:r>
            <w:proofErr w:type="spellStart"/>
            <w:r w:rsidR="003F1E37">
              <w:rPr>
                <w:rFonts w:ascii="Georgia" w:hAnsi="Georgia"/>
                <w:sz w:val="20"/>
                <w:szCs w:val="20"/>
              </w:rPr>
              <w:t>Mc</w:t>
            </w:r>
            <w:r w:rsidRPr="00AF6DAD">
              <w:rPr>
                <w:rFonts w:ascii="Georgia" w:hAnsi="Georgia"/>
                <w:sz w:val="20"/>
                <w:szCs w:val="20"/>
              </w:rPr>
              <w:t>Sweeney</w:t>
            </w:r>
            <w:proofErr w:type="spellEnd"/>
            <w:r w:rsidRPr="00AF6DAD">
              <w:rPr>
                <w:rFonts w:ascii="Georgia" w:hAnsi="Georgia"/>
                <w:sz w:val="20"/>
                <w:szCs w:val="20"/>
              </w:rPr>
              <w:t>, Manager - Payments &amp; Settlement Risk, Support &amp; Monitoring CIBC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 </w:t>
            </w:r>
          </w:p>
          <w:p w:rsidR="00A90780" w:rsidRPr="00AF6DAD" w:rsidRDefault="00BD4470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Other (TBC</w:t>
            </w:r>
            <w:r w:rsidR="00A90780">
              <w:rPr>
                <w:rFonts w:ascii="Georgia" w:hAnsi="Georgia"/>
                <w:sz w:val="20"/>
                <w:szCs w:val="20"/>
              </w:rPr>
              <w:t>)</w:t>
            </w:r>
          </w:p>
        </w:tc>
      </w:tr>
      <w:tr w:rsidR="00AF6DAD" w:rsidRPr="00AF6DAD" w:rsidTr="00DA768F">
        <w:tc>
          <w:tcPr>
            <w:tcW w:w="897" w:type="pct"/>
          </w:tcPr>
          <w:p w:rsidR="00AF6DAD" w:rsidRPr="00AF6DAD" w:rsidRDefault="00DA768F" w:rsidP="006049E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 xml:space="preserve">:00 </w:t>
            </w:r>
            <w:r>
              <w:rPr>
                <w:rFonts w:ascii="Georgia" w:hAnsi="Georgia"/>
                <w:sz w:val="20"/>
                <w:szCs w:val="20"/>
              </w:rPr>
              <w:t>p.m.– 5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AF6DAD" w:rsidRPr="00AF6DAD" w:rsidRDefault="003F1E37" w:rsidP="003F1E37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Where is Trade headed?</w:t>
            </w:r>
          </w:p>
        </w:tc>
        <w:tc>
          <w:tcPr>
            <w:tcW w:w="1522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Supply Chain initiatives are in the news, are they real or is it traditional trade finance under another name</w:t>
            </w:r>
          </w:p>
        </w:tc>
        <w:tc>
          <w:tcPr>
            <w:tcW w:w="1296" w:type="pct"/>
          </w:tcPr>
          <w:p w:rsidR="00A90780" w:rsidRDefault="00A90780" w:rsidP="00D76CA4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Panel Discussion:</w:t>
            </w:r>
          </w:p>
          <w:p w:rsidR="00A118DA" w:rsidRDefault="00AF6DAD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90780">
              <w:rPr>
                <w:rFonts w:ascii="Georgia" w:hAnsi="Georgia"/>
                <w:sz w:val="20"/>
                <w:szCs w:val="20"/>
              </w:rPr>
              <w:t>Chris Lewis, Wells Fargo</w:t>
            </w:r>
            <w:r w:rsidR="00A118DA">
              <w:rPr>
                <w:rFonts w:ascii="Georgia" w:hAnsi="Georgia"/>
                <w:sz w:val="20"/>
                <w:szCs w:val="20"/>
              </w:rPr>
              <w:t xml:space="preserve"> International Product Leader, </w:t>
            </w:r>
            <w:r w:rsidR="00C95868">
              <w:rPr>
                <w:rFonts w:ascii="Georgia" w:hAnsi="Georgia"/>
                <w:sz w:val="20"/>
                <w:szCs w:val="20"/>
              </w:rPr>
              <w:t>Tom Niebuhr. Wells Fargo International Product Manger</w:t>
            </w:r>
          </w:p>
          <w:p w:rsidR="00A118DA" w:rsidRPr="00A90780" w:rsidRDefault="00A118DA" w:rsidP="00A90780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</w:p>
        </w:tc>
      </w:tr>
      <w:tr w:rsidR="00AF6DAD" w:rsidRPr="00AF6DAD" w:rsidTr="00DA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AF6DAD" w:rsidRPr="00AF6DAD" w:rsidRDefault="00DA768F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</w:t>
            </w:r>
            <w:r w:rsidR="00AF6DAD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AF6DAD" w:rsidRPr="00AF6DAD" w:rsidRDefault="00AF6DAD" w:rsidP="007D08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Cocktails and Dinner</w:t>
            </w:r>
          </w:p>
        </w:tc>
        <w:tc>
          <w:tcPr>
            <w:tcW w:w="1522" w:type="pct"/>
          </w:tcPr>
          <w:p w:rsidR="00AF6DAD" w:rsidRPr="00AF6DAD" w:rsidRDefault="00A118DA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  <w:highlight w:val="yellow"/>
              </w:rPr>
              <w:t>Hosted B</w:t>
            </w:r>
            <w:r w:rsidR="00AF6DAD" w:rsidRPr="00AF6DAD">
              <w:rPr>
                <w:rFonts w:ascii="Georgia" w:hAnsi="Georgia"/>
                <w:sz w:val="20"/>
                <w:szCs w:val="20"/>
                <w:highlight w:val="yellow"/>
              </w:rPr>
              <w:t>y</w:t>
            </w:r>
            <w:r>
              <w:rPr>
                <w:rFonts w:ascii="Georgia" w:hAnsi="Georgia"/>
                <w:sz w:val="20"/>
                <w:szCs w:val="20"/>
              </w:rPr>
              <w:t>:</w:t>
            </w:r>
          </w:p>
        </w:tc>
        <w:tc>
          <w:tcPr>
            <w:tcW w:w="1296" w:type="pct"/>
          </w:tcPr>
          <w:p w:rsidR="00AF6DAD" w:rsidRPr="00AF6DAD" w:rsidRDefault="00AF6DAD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City Club</w:t>
            </w:r>
          </w:p>
        </w:tc>
      </w:tr>
    </w:tbl>
    <w:p w:rsidR="00521A70" w:rsidRPr="001553BA" w:rsidRDefault="00521A70" w:rsidP="00281B22">
      <w:pPr>
        <w:rPr>
          <w:rFonts w:ascii="Georgia" w:hAnsi="Georgia" w:cs="Georgia"/>
          <w:b/>
          <w:bCs/>
          <w:i/>
          <w:sz w:val="24"/>
          <w:szCs w:val="24"/>
        </w:rPr>
      </w:pPr>
      <w:r>
        <w:rPr>
          <w:rFonts w:ascii="Georgia" w:hAnsi="Georgia"/>
          <w:sz w:val="20"/>
          <w:szCs w:val="20"/>
        </w:rPr>
        <w:br w:type="page"/>
      </w:r>
      <w:r w:rsidR="00281B22">
        <w:rPr>
          <w:rFonts w:ascii="Georgia" w:hAnsi="Georgia"/>
          <w:sz w:val="20"/>
          <w:szCs w:val="20"/>
        </w:rPr>
        <w:lastRenderedPageBreak/>
        <w:t>T</w:t>
      </w:r>
      <w:r w:rsidRPr="00521A70">
        <w:rPr>
          <w:rFonts w:ascii="Georgia" w:hAnsi="Georgia" w:cs="Georgia"/>
          <w:b/>
          <w:bCs/>
          <w:sz w:val="24"/>
          <w:szCs w:val="24"/>
        </w:rPr>
        <w:t>uesday June 3</w:t>
      </w:r>
      <w:r>
        <w:rPr>
          <w:rFonts w:ascii="Georgia" w:hAnsi="Georgia" w:cs="Georgia"/>
          <w:b/>
          <w:bCs/>
          <w:sz w:val="24"/>
          <w:szCs w:val="24"/>
        </w:rPr>
        <w:br/>
      </w:r>
      <w:r w:rsidR="00A118DA" w:rsidRPr="001553BA">
        <w:rPr>
          <w:rFonts w:ascii="Georgia" w:eastAsia="Times New Roman" w:hAnsi="Georgia" w:cs="Times New Roman"/>
          <w:bCs/>
          <w:i/>
          <w:sz w:val="24"/>
          <w:szCs w:val="24"/>
        </w:rPr>
        <w:t>Wells Fargo Learning and Event Center, 333 Market Street, Annex Building, 2nd Floor</w:t>
      </w:r>
    </w:p>
    <w:tbl>
      <w:tblPr>
        <w:tblStyle w:val="MediumGrid3-Accent4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366"/>
        <w:gridCol w:w="3390"/>
        <w:gridCol w:w="4015"/>
        <w:gridCol w:w="3419"/>
      </w:tblGrid>
      <w:tr w:rsidR="00521A70" w:rsidRPr="00AF6DAD" w:rsidTr="0036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97" w:type="pct"/>
          </w:tcPr>
          <w:p w:rsidR="00521A70" w:rsidRPr="00AF6DAD" w:rsidRDefault="00521A70" w:rsidP="00CD0818">
            <w:pPr>
              <w:rPr>
                <w:rFonts w:ascii="Georgia" w:hAnsi="Georgia"/>
                <w:b w:val="0"/>
                <w:bCs w:val="0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Time</w:t>
            </w:r>
          </w:p>
        </w:tc>
        <w:tc>
          <w:tcPr>
            <w:tcW w:w="2807" w:type="pct"/>
            <w:gridSpan w:val="2"/>
          </w:tcPr>
          <w:p w:rsidR="00521A70" w:rsidRPr="00C70A6D" w:rsidRDefault="00521A70" w:rsidP="00CD0818">
            <w:pPr>
              <w:rPr>
                <w:rFonts w:ascii="Georgia" w:hAnsi="Georgia"/>
                <w:bCs w:val="0"/>
                <w:sz w:val="20"/>
                <w:szCs w:val="20"/>
              </w:rPr>
            </w:pPr>
            <w:r w:rsidRPr="00C70A6D">
              <w:rPr>
                <w:rFonts w:ascii="Georgia" w:hAnsi="Georgia"/>
                <w:bCs w:val="0"/>
                <w:sz w:val="20"/>
                <w:szCs w:val="20"/>
              </w:rPr>
              <w:t xml:space="preserve">Topic </w:t>
            </w:r>
          </w:p>
        </w:tc>
        <w:tc>
          <w:tcPr>
            <w:tcW w:w="1296" w:type="pct"/>
          </w:tcPr>
          <w:p w:rsidR="00521A70" w:rsidRPr="00AF6DAD" w:rsidRDefault="00521A70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Speaker</w:t>
            </w:r>
          </w:p>
        </w:tc>
      </w:tr>
      <w:tr w:rsidR="00970923" w:rsidRPr="00AF6DAD" w:rsidTr="0036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7:45 </w:t>
            </w:r>
            <w:r w:rsidR="0036389A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8:30</w:t>
            </w:r>
            <w:r w:rsidR="0036389A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Breakfast</w:t>
            </w:r>
          </w:p>
        </w:tc>
        <w:tc>
          <w:tcPr>
            <w:tcW w:w="1522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Learning Center</w:t>
            </w:r>
          </w:p>
        </w:tc>
      </w:tr>
      <w:tr w:rsidR="00970923" w:rsidRPr="00AF6DAD" w:rsidTr="0036389A">
        <w:tc>
          <w:tcPr>
            <w:tcW w:w="897" w:type="pct"/>
          </w:tcPr>
          <w:p w:rsidR="00970923" w:rsidRPr="00AF6DAD" w:rsidRDefault="00970923" w:rsidP="003F1E37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8:30 </w:t>
            </w:r>
            <w:r w:rsidR="0036389A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9:</w:t>
            </w:r>
            <w:r w:rsidR="003F1E37">
              <w:rPr>
                <w:rFonts w:ascii="Georgia" w:hAnsi="Georgia"/>
                <w:sz w:val="20"/>
                <w:szCs w:val="20"/>
              </w:rPr>
              <w:t>45</w:t>
            </w:r>
            <w:r w:rsidR="0036389A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Global Low Value Payments</w:t>
            </w:r>
          </w:p>
        </w:tc>
        <w:tc>
          <w:tcPr>
            <w:tcW w:w="1522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The creation of SEPA spurred cross border low value payment systems following the initial introduction of the USD/CAD link.  What are the trends in the industry to facilitate cross border low value payments, and what will be their impact to the transaction banking businesses of banks</w:t>
            </w:r>
          </w:p>
        </w:tc>
        <w:tc>
          <w:tcPr>
            <w:tcW w:w="1296" w:type="pct"/>
          </w:tcPr>
          <w:p w:rsidR="000F332B" w:rsidRPr="000F332B" w:rsidRDefault="000F332B" w:rsidP="000F332B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Panel Discussion:</w:t>
            </w:r>
          </w:p>
          <w:p w:rsidR="003F1E37" w:rsidRDefault="00970923" w:rsidP="003F1E37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Judd Holroyd, Wells Fa</w:t>
            </w:r>
            <w:r w:rsidR="003F1E37">
              <w:rPr>
                <w:rFonts w:ascii="Georgia" w:hAnsi="Georgia"/>
                <w:sz w:val="20"/>
                <w:szCs w:val="20"/>
              </w:rPr>
              <w:t>rgo Product Management Manager (Moderator)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TBC</w:t>
            </w:r>
          </w:p>
          <w:p w:rsidR="00970923" w:rsidRDefault="00970923" w:rsidP="003F1E37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Eileen </w:t>
            </w:r>
            <w:proofErr w:type="spellStart"/>
            <w:r w:rsidRPr="00AF6DAD">
              <w:rPr>
                <w:rFonts w:ascii="Georgia" w:hAnsi="Georgia"/>
                <w:sz w:val="20"/>
                <w:szCs w:val="20"/>
              </w:rPr>
              <w:t>Dignen</w:t>
            </w:r>
            <w:proofErr w:type="spellEnd"/>
            <w:r w:rsidRPr="00AF6DAD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3F1E37">
              <w:rPr>
                <w:rFonts w:ascii="Georgia" w:hAnsi="Georgia"/>
                <w:sz w:val="20"/>
                <w:szCs w:val="20"/>
              </w:rPr>
              <w:t>CHIPS</w:t>
            </w:r>
            <w:r w:rsidR="00C95868">
              <w:rPr>
                <w:rFonts w:ascii="Georgia" w:hAnsi="Georgia"/>
                <w:sz w:val="20"/>
                <w:szCs w:val="20"/>
              </w:rPr>
              <w:t xml:space="preserve"> (to be confirmed)</w:t>
            </w:r>
          </w:p>
          <w:p w:rsidR="003F1E37" w:rsidRPr="00AF6DAD" w:rsidRDefault="003F1E37" w:rsidP="003F1E37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3F1E37">
              <w:rPr>
                <w:rFonts w:ascii="Georgia" w:hAnsi="Georgia"/>
                <w:sz w:val="20"/>
                <w:szCs w:val="20"/>
              </w:rPr>
              <w:t xml:space="preserve">Jorge Jimenez, </w:t>
            </w:r>
            <w:proofErr w:type="spellStart"/>
            <w:r w:rsidRPr="003F1E37">
              <w:rPr>
                <w:rFonts w:ascii="Georgia" w:hAnsi="Georgia"/>
                <w:sz w:val="20"/>
                <w:szCs w:val="20"/>
              </w:rPr>
              <w:t>FedGlobal</w:t>
            </w:r>
            <w:proofErr w:type="spellEnd"/>
            <w:r w:rsidRPr="003F1E37">
              <w:rPr>
                <w:rFonts w:ascii="Georgia" w:hAnsi="Georgia"/>
                <w:sz w:val="20"/>
                <w:szCs w:val="20"/>
              </w:rPr>
              <w:t>, Federal Reserve Bank, Atlanta (to be confirmed)</w:t>
            </w:r>
          </w:p>
        </w:tc>
      </w:tr>
      <w:tr w:rsidR="003F1E37" w:rsidRPr="00AF6DAD" w:rsidTr="0036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3F1E37" w:rsidRPr="003F1E37" w:rsidRDefault="003F1E37" w:rsidP="003F1E37">
            <w:pPr>
              <w:rPr>
                <w:rFonts w:ascii="Georgia" w:hAnsi="Georgia"/>
                <w:sz w:val="20"/>
                <w:szCs w:val="20"/>
              </w:rPr>
            </w:pPr>
            <w:r w:rsidRPr="003F1E37">
              <w:rPr>
                <w:rFonts w:ascii="Georgia" w:hAnsi="Georgia"/>
                <w:sz w:val="20"/>
                <w:szCs w:val="20"/>
              </w:rPr>
              <w:t>9:45 a.m.– 10:00 a.m.</w:t>
            </w:r>
          </w:p>
        </w:tc>
        <w:tc>
          <w:tcPr>
            <w:tcW w:w="1285" w:type="pct"/>
          </w:tcPr>
          <w:p w:rsidR="003F1E37" w:rsidRPr="003F1E37" w:rsidRDefault="003F1E37" w:rsidP="003F1E37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  <w:tc>
          <w:tcPr>
            <w:tcW w:w="1522" w:type="pct"/>
          </w:tcPr>
          <w:p w:rsidR="003F1E37" w:rsidRPr="00E90F40" w:rsidRDefault="003F1E37" w:rsidP="00C3195F"/>
        </w:tc>
        <w:tc>
          <w:tcPr>
            <w:tcW w:w="1296" w:type="pct"/>
          </w:tcPr>
          <w:p w:rsidR="003F1E37" w:rsidRDefault="003F1E37" w:rsidP="00C3195F"/>
        </w:tc>
      </w:tr>
      <w:tr w:rsidR="00970923" w:rsidRPr="00AF6DAD" w:rsidTr="0036389A">
        <w:tc>
          <w:tcPr>
            <w:tcW w:w="897" w:type="pct"/>
          </w:tcPr>
          <w:p w:rsidR="00970923" w:rsidRPr="00AF6DAD" w:rsidRDefault="003F1E37" w:rsidP="003F1E3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</w:t>
            </w:r>
            <w:r>
              <w:rPr>
                <w:rFonts w:ascii="Georgia" w:hAnsi="Georgia"/>
                <w:sz w:val="20"/>
                <w:szCs w:val="20"/>
              </w:rPr>
              <w:t>0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 xml:space="preserve">0 </w:t>
            </w:r>
            <w:r w:rsidR="0036389A">
              <w:rPr>
                <w:rFonts w:ascii="Georgia" w:hAnsi="Georgia"/>
                <w:sz w:val="20"/>
                <w:szCs w:val="20"/>
              </w:rPr>
              <w:t>a.m.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– 1</w:t>
            </w:r>
            <w:r>
              <w:rPr>
                <w:rFonts w:ascii="Georgia" w:hAnsi="Georgia"/>
                <w:sz w:val="20"/>
                <w:szCs w:val="20"/>
              </w:rPr>
              <w:t>1</w:t>
            </w:r>
            <w:r w:rsidR="000F332B">
              <w:rPr>
                <w:rFonts w:ascii="Georgia" w:hAnsi="Georgia"/>
                <w:sz w:val="20"/>
                <w:szCs w:val="20"/>
              </w:rPr>
              <w:t>:30</w:t>
            </w:r>
            <w:r w:rsidR="0036389A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1285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Update from SWIFT</w:t>
            </w:r>
          </w:p>
        </w:tc>
        <w:tc>
          <w:tcPr>
            <w:tcW w:w="1522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Update of initiatives from SWIFT including the introduction of mandatory codes for field 59F,  </w:t>
            </w:r>
            <w:proofErr w:type="spellStart"/>
            <w:r w:rsidRPr="00AF6DAD">
              <w:rPr>
                <w:rFonts w:ascii="Georgia" w:hAnsi="Georgia"/>
                <w:sz w:val="20"/>
                <w:szCs w:val="20"/>
              </w:rPr>
              <w:t>SWIFTRef</w:t>
            </w:r>
            <w:proofErr w:type="spellEnd"/>
            <w:r w:rsidRPr="00AF6DAD">
              <w:rPr>
                <w:rFonts w:ascii="Georgia" w:hAnsi="Georgia"/>
                <w:sz w:val="20"/>
                <w:szCs w:val="20"/>
              </w:rPr>
              <w:t>, Sanctions Screening &amp; Testing, Electronic Bank Account Management (</w:t>
            </w:r>
            <w:proofErr w:type="spellStart"/>
            <w:r w:rsidRPr="00AF6DAD">
              <w:rPr>
                <w:rFonts w:ascii="Georgia" w:hAnsi="Georgia"/>
                <w:sz w:val="20"/>
                <w:szCs w:val="20"/>
              </w:rPr>
              <w:t>eBam</w:t>
            </w:r>
            <w:proofErr w:type="spellEnd"/>
            <w:r w:rsidRPr="00AF6DAD">
              <w:rPr>
                <w:rFonts w:ascii="Georgia" w:hAnsi="Georgia"/>
                <w:sz w:val="20"/>
                <w:szCs w:val="20"/>
              </w:rPr>
              <w:t xml:space="preserve">), SWIFT Secure Signature Key (3SKey), </w:t>
            </w:r>
            <w:r w:rsidR="002C4BEA">
              <w:rPr>
                <w:rFonts w:ascii="Georgia" w:hAnsi="Georgia"/>
                <w:sz w:val="20"/>
                <w:szCs w:val="20"/>
              </w:rPr>
              <w:t xml:space="preserve">BPO, </w:t>
            </w:r>
            <w:r w:rsidRPr="00AF6DAD">
              <w:rPr>
                <w:rFonts w:ascii="Georgia" w:hAnsi="Georgia"/>
                <w:sz w:val="20"/>
                <w:szCs w:val="20"/>
              </w:rPr>
              <w:t>SWIFT Index, and Traffic Watch</w:t>
            </w:r>
          </w:p>
        </w:tc>
        <w:tc>
          <w:tcPr>
            <w:tcW w:w="1296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Jim Wills, SWIFT </w:t>
            </w:r>
            <w:r w:rsidRPr="00AF6DAD">
              <w:rPr>
                <w:rFonts w:ascii="Georgia" w:hAnsi="Georgia" w:cs="Arial"/>
                <w:sz w:val="20"/>
                <w:szCs w:val="20"/>
                <w:lang w:val="en-GB"/>
              </w:rPr>
              <w:t>Senior Business Manager - Banking Initiatives</w:t>
            </w:r>
            <w:r w:rsidR="00BD4470">
              <w:rPr>
                <w:rFonts w:ascii="Georgia" w:hAnsi="Georgia" w:cs="Arial"/>
                <w:sz w:val="20"/>
                <w:szCs w:val="20"/>
                <w:lang w:val="en-GB"/>
              </w:rPr>
              <w:t xml:space="preserve"> </w:t>
            </w:r>
            <w:r w:rsidRPr="00AF6DAD">
              <w:rPr>
                <w:rFonts w:ascii="Georgia" w:hAnsi="Georgia" w:cs="Arial"/>
                <w:sz w:val="20"/>
                <w:szCs w:val="20"/>
                <w:lang w:val="en-GB"/>
              </w:rPr>
              <w:t>Standards</w:t>
            </w:r>
            <w:r w:rsidR="00BD4470">
              <w:rPr>
                <w:rFonts w:ascii="Georgia" w:hAnsi="Georgia" w:cs="Arial"/>
                <w:sz w:val="20"/>
                <w:szCs w:val="20"/>
                <w:lang w:val="en-GB"/>
              </w:rPr>
              <w:t xml:space="preserve"> (TBC)</w:t>
            </w:r>
          </w:p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0F332B" w:rsidRPr="00AF6DAD" w:rsidTr="0036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0F332B" w:rsidRPr="00AF6DAD" w:rsidRDefault="000F332B" w:rsidP="000F332B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1</w:t>
            </w:r>
            <w:r>
              <w:rPr>
                <w:rFonts w:ascii="Georgia" w:hAnsi="Georgia"/>
                <w:sz w:val="20"/>
                <w:szCs w:val="20"/>
              </w:rPr>
              <w:t>1</w:t>
            </w:r>
            <w:r w:rsidRPr="00AF6DAD">
              <w:rPr>
                <w:rFonts w:ascii="Georgia" w:hAnsi="Georgia"/>
                <w:sz w:val="20"/>
                <w:szCs w:val="20"/>
              </w:rPr>
              <w:t>:</w:t>
            </w:r>
            <w:r>
              <w:rPr>
                <w:rFonts w:ascii="Georgia" w:hAnsi="Georgia"/>
                <w:sz w:val="20"/>
                <w:szCs w:val="20"/>
              </w:rPr>
              <w:t>30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1:30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0F332B" w:rsidRPr="00AF6DAD" w:rsidRDefault="000F332B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F332B">
              <w:rPr>
                <w:rFonts w:ascii="Georgia" w:hAnsi="Georgia"/>
                <w:b/>
                <w:i/>
                <w:sz w:val="20"/>
                <w:szCs w:val="20"/>
              </w:rPr>
              <w:t>Working Lunch: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AF6DAD">
              <w:rPr>
                <w:rFonts w:ascii="Georgia" w:hAnsi="Georgia"/>
                <w:b/>
                <w:sz w:val="20"/>
                <w:szCs w:val="20"/>
              </w:rPr>
              <w:t>Economic Outlook and Global Credit Environment</w:t>
            </w:r>
          </w:p>
        </w:tc>
        <w:tc>
          <w:tcPr>
            <w:tcW w:w="1522" w:type="pct"/>
          </w:tcPr>
          <w:p w:rsidR="000F332B" w:rsidRPr="00AF6DAD" w:rsidRDefault="000F332B" w:rsidP="000F332B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An overview of the Global Eco</w:t>
            </w:r>
            <w:r>
              <w:rPr>
                <w:rFonts w:ascii="Georgia" w:hAnsi="Georgia"/>
                <w:sz w:val="20"/>
                <w:szCs w:val="20"/>
              </w:rPr>
              <w:t xml:space="preserve">nomic Outlook for 2014 and 2015 </w:t>
            </w:r>
          </w:p>
        </w:tc>
        <w:tc>
          <w:tcPr>
            <w:tcW w:w="1296" w:type="pct"/>
          </w:tcPr>
          <w:p w:rsidR="000F332B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Panel Discussion: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:rsidR="000F332B" w:rsidRDefault="000F332B" w:rsidP="000F332B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Dominic O’Hagan, Wells Fargo Lending Manager 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  <w:p w:rsidR="000F332B" w:rsidRDefault="000F332B" w:rsidP="000F332B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Federal Reserve Bank of San Francisco, Center for Pacific Basin Studies (to be confirmed)</w:t>
            </w:r>
          </w:p>
          <w:p w:rsidR="000F332B" w:rsidRPr="00AF6DAD" w:rsidRDefault="000F332B" w:rsidP="000F332B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Tim Quinlan, Wells Fargo Securities Research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</w:tc>
      </w:tr>
      <w:tr w:rsidR="000F332B" w:rsidRPr="000F332B" w:rsidTr="00281B22">
        <w:trPr>
          <w:trHeight w:val="399"/>
        </w:trPr>
        <w:tc>
          <w:tcPr>
            <w:tcW w:w="897" w:type="pct"/>
          </w:tcPr>
          <w:p w:rsidR="000F332B" w:rsidRPr="000F332B" w:rsidRDefault="000F332B" w:rsidP="000F332B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</w:t>
            </w:r>
            <w:r w:rsidRPr="000F332B">
              <w:rPr>
                <w:rFonts w:ascii="Georgia" w:hAnsi="Georgia"/>
                <w:sz w:val="20"/>
                <w:szCs w:val="20"/>
              </w:rPr>
              <w:t>:</w:t>
            </w:r>
            <w:r>
              <w:rPr>
                <w:rFonts w:ascii="Georgia" w:hAnsi="Georgia"/>
                <w:sz w:val="20"/>
                <w:szCs w:val="20"/>
              </w:rPr>
              <w:t>30</w:t>
            </w:r>
            <w:r w:rsidRPr="000F332B"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>p</w:t>
            </w:r>
            <w:r w:rsidRPr="000F332B">
              <w:rPr>
                <w:rFonts w:ascii="Georgia" w:hAnsi="Georgia"/>
                <w:sz w:val="20"/>
                <w:szCs w:val="20"/>
              </w:rPr>
              <w:t xml:space="preserve">.m.– </w:t>
            </w:r>
            <w:r>
              <w:rPr>
                <w:rFonts w:ascii="Georgia" w:hAnsi="Georgia"/>
                <w:sz w:val="20"/>
                <w:szCs w:val="20"/>
              </w:rPr>
              <w:t>2</w:t>
            </w:r>
            <w:r w:rsidRPr="000F332B">
              <w:rPr>
                <w:rFonts w:ascii="Georgia" w:hAnsi="Georgia"/>
                <w:sz w:val="20"/>
                <w:szCs w:val="20"/>
              </w:rPr>
              <w:t xml:space="preserve">:00 </w:t>
            </w:r>
            <w:r>
              <w:rPr>
                <w:rFonts w:ascii="Georgia" w:hAnsi="Georgia"/>
                <w:sz w:val="20"/>
                <w:szCs w:val="20"/>
              </w:rPr>
              <w:t>p</w:t>
            </w:r>
            <w:r w:rsidRPr="000F332B">
              <w:rPr>
                <w:rFonts w:ascii="Georgia" w:hAnsi="Georgia"/>
                <w:sz w:val="20"/>
                <w:szCs w:val="20"/>
              </w:rPr>
              <w:t>.m.</w:t>
            </w:r>
          </w:p>
        </w:tc>
        <w:tc>
          <w:tcPr>
            <w:tcW w:w="1285" w:type="pct"/>
          </w:tcPr>
          <w:p w:rsidR="000F332B" w:rsidRPr="000F332B" w:rsidRDefault="000F332B" w:rsidP="000F332B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F332B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  <w:tc>
          <w:tcPr>
            <w:tcW w:w="1522" w:type="pct"/>
          </w:tcPr>
          <w:p w:rsidR="000F332B" w:rsidRPr="000F332B" w:rsidRDefault="000F332B" w:rsidP="004A2408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0F332B" w:rsidRPr="000F332B" w:rsidRDefault="000F332B" w:rsidP="004A2408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0F332B" w:rsidRPr="00AF6DAD" w:rsidTr="0036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0F332B" w:rsidRPr="00AF6DAD" w:rsidRDefault="008B6DC9" w:rsidP="00281B22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>:</w:t>
            </w:r>
            <w:r w:rsidR="00281B22">
              <w:rPr>
                <w:rFonts w:ascii="Georgia" w:hAnsi="Georgia"/>
                <w:sz w:val="20"/>
                <w:szCs w:val="20"/>
              </w:rPr>
              <w:t>0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 xml:space="preserve">0 </w:t>
            </w:r>
            <w:r>
              <w:rPr>
                <w:rFonts w:ascii="Georgia" w:hAnsi="Georgia"/>
                <w:sz w:val="20"/>
                <w:szCs w:val="20"/>
              </w:rPr>
              <w:t>p</w:t>
            </w:r>
            <w:r w:rsidR="000F332B">
              <w:rPr>
                <w:rFonts w:ascii="Georgia" w:hAnsi="Georgia"/>
                <w:sz w:val="20"/>
                <w:szCs w:val="20"/>
              </w:rPr>
              <w:t>.m.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 xml:space="preserve">– </w:t>
            </w:r>
            <w:r>
              <w:rPr>
                <w:rFonts w:ascii="Georgia" w:hAnsi="Georgia"/>
                <w:sz w:val="20"/>
                <w:szCs w:val="20"/>
              </w:rPr>
              <w:t>3:</w:t>
            </w:r>
            <w:r w:rsidR="00281B22">
              <w:rPr>
                <w:rFonts w:ascii="Georgia" w:hAnsi="Georgia"/>
                <w:sz w:val="20"/>
                <w:szCs w:val="20"/>
              </w:rPr>
              <w:t>30</w:t>
            </w:r>
            <w:r w:rsidR="000F332B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0F332B" w:rsidRPr="00AF6DAD" w:rsidRDefault="000F332B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Financial Market </w:t>
            </w:r>
            <w:r>
              <w:rPr>
                <w:rFonts w:ascii="Georgia" w:hAnsi="Georgia"/>
                <w:b/>
                <w:sz w:val="20"/>
                <w:szCs w:val="20"/>
              </w:rPr>
              <w:lastRenderedPageBreak/>
              <w:t xml:space="preserve">Infrastructures (FMIs) and </w:t>
            </w:r>
            <w:r w:rsidRPr="00AF6DAD">
              <w:rPr>
                <w:rFonts w:ascii="Georgia" w:hAnsi="Georgia"/>
                <w:b/>
                <w:sz w:val="20"/>
                <w:szCs w:val="20"/>
              </w:rPr>
              <w:t>Multilateral Clearing Organizations</w:t>
            </w:r>
          </w:p>
        </w:tc>
        <w:tc>
          <w:tcPr>
            <w:tcW w:w="1522" w:type="pct"/>
          </w:tcPr>
          <w:p w:rsidR="000F332B" w:rsidRPr="00AF6DAD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lastRenderedPageBreak/>
              <w:t xml:space="preserve">An update on role and regulation </w:t>
            </w:r>
            <w:r>
              <w:rPr>
                <w:rFonts w:ascii="Georgia" w:hAnsi="Georgia"/>
                <w:sz w:val="20"/>
                <w:szCs w:val="20"/>
              </w:rPr>
              <w:lastRenderedPageBreak/>
              <w:t xml:space="preserve">surrounding FMI’s </w:t>
            </w:r>
            <w:proofErr w:type="gramStart"/>
            <w:r>
              <w:rPr>
                <w:rFonts w:ascii="Georgia" w:hAnsi="Georgia"/>
                <w:sz w:val="20"/>
                <w:szCs w:val="20"/>
              </w:rPr>
              <w:t>and  a</w:t>
            </w:r>
            <w:proofErr w:type="gramEnd"/>
            <w:r w:rsidRPr="00AF6DAD">
              <w:rPr>
                <w:rFonts w:ascii="Georgia" w:hAnsi="Georgia"/>
                <w:sz w:val="20"/>
                <w:szCs w:val="20"/>
              </w:rPr>
              <w:t xml:space="preserve"> perspective on global liquidity management from clearing organizations. What are the changes and challenges banks may expect to see in the near term</w:t>
            </w:r>
          </w:p>
        </w:tc>
        <w:tc>
          <w:tcPr>
            <w:tcW w:w="1296" w:type="pct"/>
          </w:tcPr>
          <w:p w:rsidR="000F332B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lastRenderedPageBreak/>
              <w:t>Panel Discussion:</w:t>
            </w:r>
          </w:p>
          <w:p w:rsidR="000F332B" w:rsidRDefault="000F332B" w:rsidP="00A118DA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lastRenderedPageBreak/>
              <w:t>George Doolittle (Moderator)</w:t>
            </w:r>
          </w:p>
          <w:p w:rsidR="000F332B" w:rsidRDefault="000F332B" w:rsidP="00A118DA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Peter Lightfoot, CLS (</w:t>
            </w:r>
            <w:r w:rsidR="00BD4470">
              <w:rPr>
                <w:rFonts w:ascii="Georgia" w:hAnsi="Georgia"/>
                <w:sz w:val="20"/>
                <w:szCs w:val="20"/>
              </w:rPr>
              <w:t>TBC</w:t>
            </w:r>
            <w:r>
              <w:rPr>
                <w:rFonts w:ascii="Georgia" w:hAnsi="Georgia"/>
                <w:sz w:val="20"/>
                <w:szCs w:val="20"/>
              </w:rPr>
              <w:t>)</w:t>
            </w:r>
          </w:p>
          <w:p w:rsidR="000F332B" w:rsidRDefault="000F332B" w:rsidP="00A118DA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Clearing Corporation of India (tentative)</w:t>
            </w:r>
          </w:p>
          <w:p w:rsidR="000F332B" w:rsidRPr="00A118DA" w:rsidRDefault="000F332B" w:rsidP="000F332B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Jeff Gore, Derivative Clearing and Settlement, Wells Fargo </w:t>
            </w:r>
            <w:r w:rsidR="00FB6D27">
              <w:rPr>
                <w:rFonts w:ascii="Georgia" w:hAnsi="Georgia"/>
                <w:sz w:val="20"/>
                <w:szCs w:val="20"/>
              </w:rPr>
              <w:t>Securities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</w:tc>
      </w:tr>
      <w:tr w:rsidR="000F332B" w:rsidRPr="00AF6DAD" w:rsidTr="0036389A">
        <w:tc>
          <w:tcPr>
            <w:tcW w:w="897" w:type="pct"/>
          </w:tcPr>
          <w:p w:rsidR="000F332B" w:rsidRPr="00AF6DAD" w:rsidRDefault="008B6DC9" w:rsidP="00281B22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lastRenderedPageBreak/>
              <w:t>3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>:</w:t>
            </w:r>
            <w:r w:rsidR="00281B22">
              <w:rPr>
                <w:rFonts w:ascii="Georgia" w:hAnsi="Georgia"/>
                <w:sz w:val="20"/>
                <w:szCs w:val="20"/>
              </w:rPr>
              <w:t>30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 xml:space="preserve"> </w:t>
            </w:r>
            <w:r w:rsidR="000F332B">
              <w:rPr>
                <w:rFonts w:ascii="Georgia" w:hAnsi="Georgia"/>
                <w:sz w:val="20"/>
                <w:szCs w:val="20"/>
              </w:rPr>
              <w:t xml:space="preserve">p.m.– 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>:45</w:t>
            </w:r>
            <w:r w:rsidR="000F332B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0F332B" w:rsidRPr="00AF6DAD" w:rsidRDefault="000F332B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  <w:tc>
          <w:tcPr>
            <w:tcW w:w="1522" w:type="pct"/>
          </w:tcPr>
          <w:p w:rsidR="000F332B" w:rsidRPr="00AF6DAD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0F332B" w:rsidRPr="00AF6DAD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0F332B" w:rsidRPr="00AF6DAD" w:rsidTr="0036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7" w:type="pct"/>
          </w:tcPr>
          <w:p w:rsidR="000F332B" w:rsidRPr="00AF6DAD" w:rsidRDefault="008B6DC9" w:rsidP="00281B22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>:45</w:t>
            </w:r>
            <w:r w:rsidR="000F332B">
              <w:rPr>
                <w:rFonts w:ascii="Georgia" w:hAnsi="Georgia"/>
                <w:sz w:val="20"/>
                <w:szCs w:val="20"/>
              </w:rPr>
              <w:t xml:space="preserve"> p.m. – </w:t>
            </w:r>
            <w:r w:rsidR="00281B22">
              <w:rPr>
                <w:rFonts w:ascii="Georgia" w:hAnsi="Georgia"/>
                <w:sz w:val="20"/>
                <w:szCs w:val="20"/>
              </w:rPr>
              <w:t>5</w:t>
            </w:r>
            <w:r w:rsidR="000F332B" w:rsidRPr="00AF6DAD">
              <w:rPr>
                <w:rFonts w:ascii="Georgia" w:hAnsi="Georgia"/>
                <w:sz w:val="20"/>
                <w:szCs w:val="20"/>
              </w:rPr>
              <w:t>:00</w:t>
            </w:r>
            <w:r w:rsidR="000F332B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0F332B" w:rsidRPr="00AF6DAD" w:rsidRDefault="000F332B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 xml:space="preserve">Basel 3 - Dealing with balances, </w:t>
            </w:r>
          </w:p>
          <w:p w:rsidR="000F332B" w:rsidRPr="00AF6DAD" w:rsidRDefault="000F332B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Transfer Pricing, and Liquidity Reporting</w:t>
            </w:r>
          </w:p>
        </w:tc>
        <w:tc>
          <w:tcPr>
            <w:tcW w:w="1522" w:type="pct"/>
          </w:tcPr>
          <w:p w:rsidR="000F332B" w:rsidRPr="00AF6DAD" w:rsidRDefault="000F332B" w:rsidP="008B6DC9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An overview of the practical requirements of Basel 3 combined with an overview of how the regulation impacts </w:t>
            </w:r>
            <w:r w:rsidR="008B6DC9">
              <w:rPr>
                <w:rFonts w:ascii="Georgia" w:hAnsi="Georgia"/>
                <w:sz w:val="20"/>
                <w:szCs w:val="20"/>
              </w:rPr>
              <w:t xml:space="preserve">(a) 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capital raising decisions at </w:t>
            </w:r>
            <w:r w:rsidR="008B6DC9">
              <w:rPr>
                <w:rFonts w:ascii="Georgia" w:hAnsi="Georgia"/>
                <w:sz w:val="20"/>
                <w:szCs w:val="20"/>
              </w:rPr>
              <w:t>banks, (b) how will demand deposits be treated and priced, and (c) what types of information do FIs require in order to report on their Intra Day reporting</w:t>
            </w:r>
          </w:p>
        </w:tc>
        <w:tc>
          <w:tcPr>
            <w:tcW w:w="1296" w:type="pct"/>
          </w:tcPr>
          <w:p w:rsidR="000F332B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Panel Discussion:</w:t>
            </w:r>
          </w:p>
          <w:p w:rsidR="000F332B" w:rsidRDefault="000F332B" w:rsidP="00A118DA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118DA">
              <w:rPr>
                <w:rFonts w:ascii="Georgia" w:hAnsi="Georgia"/>
                <w:sz w:val="20"/>
                <w:szCs w:val="20"/>
              </w:rPr>
              <w:t>Yoko Hori</w:t>
            </w:r>
            <w:r>
              <w:rPr>
                <w:rFonts w:ascii="Georgia" w:hAnsi="Georgia"/>
                <w:sz w:val="20"/>
                <w:szCs w:val="20"/>
              </w:rPr>
              <w:t>o, Wells Fargo Risk Management</w:t>
            </w:r>
            <w:r w:rsidR="008B6DC9">
              <w:rPr>
                <w:rFonts w:ascii="Georgia" w:hAnsi="Georgia"/>
                <w:sz w:val="20"/>
                <w:szCs w:val="20"/>
              </w:rPr>
              <w:t xml:space="preserve"> (Moderator)</w:t>
            </w:r>
          </w:p>
          <w:p w:rsidR="000F332B" w:rsidRDefault="000F332B" w:rsidP="00A118DA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 w:rsidRPr="00A118DA">
              <w:rPr>
                <w:rFonts w:ascii="Georgia" w:hAnsi="Georgia"/>
                <w:sz w:val="20"/>
                <w:szCs w:val="20"/>
              </w:rPr>
              <w:t>April Frazier, Wells Fargo Securities Banker</w:t>
            </w:r>
            <w:r w:rsidR="00BD4470">
              <w:rPr>
                <w:rFonts w:ascii="Georgia" w:hAnsi="Georgia"/>
                <w:sz w:val="20"/>
                <w:szCs w:val="20"/>
              </w:rPr>
              <w:t xml:space="preserve"> (TBC)</w:t>
            </w:r>
          </w:p>
          <w:p w:rsidR="008B6DC9" w:rsidRPr="00A118DA" w:rsidRDefault="008B6DC9" w:rsidP="00A118DA">
            <w:pPr>
              <w:pStyle w:val="ListParagraph"/>
              <w:numPr>
                <w:ilvl w:val="0"/>
                <w:numId w:val="8"/>
              </w:numPr>
              <w:ind w:left="219" w:hanging="219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 client perspective (TBD)</w:t>
            </w:r>
          </w:p>
        </w:tc>
      </w:tr>
      <w:tr w:rsidR="000F332B" w:rsidRPr="00AF6DAD" w:rsidTr="0036389A">
        <w:tc>
          <w:tcPr>
            <w:tcW w:w="897" w:type="pct"/>
          </w:tcPr>
          <w:p w:rsidR="000F332B" w:rsidRPr="00AF6DAD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:00 </w:t>
            </w:r>
            <w:r>
              <w:rPr>
                <w:rFonts w:ascii="Georgia" w:hAnsi="Georgia"/>
                <w:sz w:val="20"/>
                <w:szCs w:val="20"/>
              </w:rPr>
              <w:t>p.m.– 5</w:t>
            </w:r>
            <w:r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85" w:type="pct"/>
          </w:tcPr>
          <w:p w:rsidR="000F332B" w:rsidRPr="00AF6DAD" w:rsidRDefault="000F332B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</w:p>
        </w:tc>
        <w:tc>
          <w:tcPr>
            <w:tcW w:w="1522" w:type="pct"/>
          </w:tcPr>
          <w:p w:rsidR="000F332B" w:rsidRPr="00AF6DAD" w:rsidRDefault="000F332B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296" w:type="pct"/>
          </w:tcPr>
          <w:p w:rsidR="008B6DC9" w:rsidRPr="008B6DC9" w:rsidRDefault="008B6DC9" w:rsidP="00281B22">
            <w:pPr>
              <w:pStyle w:val="ListParagraph"/>
              <w:ind w:left="219"/>
              <w:rPr>
                <w:rFonts w:ascii="Georgia" w:hAnsi="Georgia"/>
                <w:sz w:val="20"/>
                <w:szCs w:val="20"/>
              </w:rPr>
            </w:pPr>
          </w:p>
        </w:tc>
      </w:tr>
      <w:tr w:rsidR="000F332B" w:rsidRPr="00AF6DAD" w:rsidTr="0084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0F332B" w:rsidRPr="00AF6DAD" w:rsidRDefault="000F332B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No Planned Evening Event</w:t>
            </w:r>
          </w:p>
        </w:tc>
      </w:tr>
    </w:tbl>
    <w:p w:rsidR="00B0649E" w:rsidRDefault="00B0649E">
      <w:pPr>
        <w:rPr>
          <w:rFonts w:ascii="Georgia" w:hAnsi="Georgia"/>
          <w:sz w:val="20"/>
          <w:szCs w:val="20"/>
        </w:rPr>
      </w:pPr>
    </w:p>
    <w:p w:rsidR="00910F0C" w:rsidRDefault="00910F0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:rsidR="00845064" w:rsidRPr="001553BA" w:rsidRDefault="00845064">
      <w:pPr>
        <w:rPr>
          <w:rFonts w:ascii="Georgia" w:hAnsi="Georgia" w:cs="Georgia"/>
          <w:b/>
          <w:bCs/>
          <w:i/>
          <w:sz w:val="24"/>
          <w:szCs w:val="24"/>
        </w:rPr>
      </w:pPr>
      <w:r w:rsidRPr="00845064">
        <w:rPr>
          <w:rFonts w:ascii="Georgia" w:hAnsi="Georgia" w:cs="Georgia"/>
          <w:b/>
          <w:bCs/>
          <w:sz w:val="24"/>
          <w:szCs w:val="24"/>
        </w:rPr>
        <w:lastRenderedPageBreak/>
        <w:t>Wednesday June 4</w:t>
      </w:r>
      <w:r>
        <w:rPr>
          <w:rFonts w:ascii="Georgia" w:hAnsi="Georgia" w:cs="Georgia"/>
          <w:b/>
          <w:bCs/>
          <w:sz w:val="24"/>
          <w:szCs w:val="24"/>
        </w:rPr>
        <w:br/>
      </w:r>
      <w:r w:rsidR="00A118DA" w:rsidRPr="001553BA">
        <w:rPr>
          <w:rFonts w:ascii="Georgia" w:hAnsi="Georgia" w:cs="Georgia"/>
          <w:b/>
          <w:bCs/>
          <w:i/>
          <w:sz w:val="24"/>
          <w:szCs w:val="24"/>
        </w:rPr>
        <w:t>Offsite Networking Session – Marin County</w:t>
      </w:r>
    </w:p>
    <w:tbl>
      <w:tblPr>
        <w:tblStyle w:val="MediumGrid3-Accent4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56"/>
        <w:gridCol w:w="7270"/>
        <w:gridCol w:w="3464"/>
      </w:tblGrid>
      <w:tr w:rsidR="00845064" w:rsidRPr="00AF6DAD" w:rsidTr="00A9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31" w:type="pct"/>
          </w:tcPr>
          <w:p w:rsidR="00845064" w:rsidRPr="00AF6DAD" w:rsidRDefault="00910F0C" w:rsidP="00CD0818">
            <w:pPr>
              <w:rPr>
                <w:rFonts w:ascii="Georgia" w:hAnsi="Georgia"/>
                <w:b w:val="0"/>
                <w:bCs w:val="0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Time</w:t>
            </w:r>
          </w:p>
        </w:tc>
        <w:tc>
          <w:tcPr>
            <w:tcW w:w="2756" w:type="pct"/>
          </w:tcPr>
          <w:p w:rsidR="00845064" w:rsidRPr="004016BA" w:rsidRDefault="00910F0C" w:rsidP="00CD0818">
            <w:pPr>
              <w:rPr>
                <w:rFonts w:ascii="Georgia" w:hAnsi="Georgia"/>
                <w:sz w:val="20"/>
                <w:szCs w:val="20"/>
              </w:rPr>
            </w:pPr>
            <w:r w:rsidRPr="004016BA">
              <w:rPr>
                <w:rFonts w:ascii="Georgia" w:hAnsi="Georgia"/>
                <w:sz w:val="20"/>
                <w:szCs w:val="20"/>
              </w:rPr>
              <w:t>Topic</w:t>
            </w:r>
          </w:p>
        </w:tc>
        <w:tc>
          <w:tcPr>
            <w:tcW w:w="1313" w:type="pct"/>
          </w:tcPr>
          <w:p w:rsidR="00845064" w:rsidRPr="00AF6DAD" w:rsidRDefault="00910F0C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Speaker</w:t>
            </w:r>
          </w:p>
        </w:tc>
      </w:tr>
      <w:tr w:rsidR="00970923" w:rsidRPr="00AF6DAD" w:rsidTr="0015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7:45 </w:t>
            </w:r>
            <w:r w:rsidR="00A93FE9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8:30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2756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Breakfast Options:</w:t>
            </w:r>
          </w:p>
          <w:p w:rsidR="00970923" w:rsidRPr="00AF6DAD" w:rsidRDefault="00970923" w:rsidP="00CD0818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Meet at 7:30 hotel lobby</w:t>
            </w:r>
            <w:r w:rsidR="007A1FF5">
              <w:rPr>
                <w:rFonts w:ascii="Georgia" w:hAnsi="Georgia"/>
                <w:sz w:val="20"/>
                <w:szCs w:val="20"/>
              </w:rPr>
              <w:t>;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 walk to the Ferry building for coffee and muffins</w:t>
            </w:r>
          </w:p>
          <w:p w:rsidR="00970923" w:rsidRPr="00AF6DAD" w:rsidRDefault="00970923" w:rsidP="001553BA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Meet at 8:45 at the Ferry Building to catch the ferry to Larkspur which departs promptly at 9:10</w:t>
            </w:r>
            <w:r w:rsidR="001553BA">
              <w:rPr>
                <w:rFonts w:ascii="Georgia" w:hAnsi="Georgia"/>
                <w:sz w:val="20"/>
                <w:szCs w:val="20"/>
              </w:rPr>
              <w:t xml:space="preserve"> (need to arrive 10  minutes before departure)</w:t>
            </w:r>
          </w:p>
        </w:tc>
        <w:tc>
          <w:tcPr>
            <w:tcW w:w="1313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970923" w:rsidRPr="00AF6DAD" w:rsidTr="001553BA">
        <w:tc>
          <w:tcPr>
            <w:tcW w:w="931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9:10 </w:t>
            </w:r>
            <w:r w:rsidR="00A93FE9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9:45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2756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Ferry To Larkspur</w:t>
            </w:r>
          </w:p>
        </w:tc>
        <w:tc>
          <w:tcPr>
            <w:tcW w:w="1313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Ferry Building</w:t>
            </w:r>
          </w:p>
        </w:tc>
      </w:tr>
      <w:tr w:rsidR="00970923" w:rsidRPr="00AF6DAD" w:rsidTr="00A9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9:45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a.m.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 – 10:15 </w:t>
            </w:r>
            <w:r w:rsidR="00A93FE9">
              <w:rPr>
                <w:rFonts w:ascii="Georgia" w:hAnsi="Georgia"/>
                <w:sz w:val="20"/>
                <w:szCs w:val="20"/>
              </w:rPr>
              <w:t>a.m.</w:t>
            </w:r>
          </w:p>
        </w:tc>
        <w:tc>
          <w:tcPr>
            <w:tcW w:w="2756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Bus pickup from Larkspur terminal</w:t>
            </w:r>
          </w:p>
        </w:tc>
        <w:tc>
          <w:tcPr>
            <w:tcW w:w="1313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Transfer to Stone Tree Golf Course, Novato</w:t>
            </w:r>
          </w:p>
        </w:tc>
      </w:tr>
      <w:tr w:rsidR="00970923" w:rsidRPr="00AF6DAD" w:rsidTr="00A93FE9">
        <w:tc>
          <w:tcPr>
            <w:tcW w:w="931" w:type="pct"/>
          </w:tcPr>
          <w:p w:rsidR="00970923" w:rsidRPr="00AF6DAD" w:rsidRDefault="00970923" w:rsidP="00FB6D27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10:30 </w:t>
            </w:r>
            <w:r w:rsidR="00A93FE9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12:</w:t>
            </w:r>
            <w:r w:rsidR="00FB6D27">
              <w:rPr>
                <w:rFonts w:ascii="Georgia" w:hAnsi="Georgia"/>
                <w:sz w:val="20"/>
                <w:szCs w:val="20"/>
              </w:rPr>
              <w:t>0</w:t>
            </w:r>
            <w:r w:rsidRPr="00AF6DAD">
              <w:rPr>
                <w:rFonts w:ascii="Georgia" w:hAnsi="Georgia"/>
                <w:sz w:val="20"/>
                <w:szCs w:val="20"/>
              </w:rPr>
              <w:t>0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2756" w:type="pct"/>
          </w:tcPr>
          <w:p w:rsidR="00970923" w:rsidRPr="00AF6DAD" w:rsidRDefault="00970923" w:rsidP="00A118DA">
            <w:pPr>
              <w:rPr>
                <w:rFonts w:ascii="Georgia" w:hAnsi="Georgia"/>
                <w:sz w:val="20"/>
                <w:szCs w:val="20"/>
              </w:rPr>
            </w:pPr>
            <w:r w:rsidRPr="00A118DA">
              <w:rPr>
                <w:rFonts w:ascii="Georgia" w:hAnsi="Georgia"/>
                <w:b/>
                <w:sz w:val="20"/>
                <w:szCs w:val="20"/>
              </w:rPr>
              <w:t>Tim’s Show and Tell</w:t>
            </w:r>
            <w:r w:rsidR="00A118DA">
              <w:rPr>
                <w:rFonts w:ascii="Georgia" w:hAnsi="Georgia"/>
                <w:sz w:val="20"/>
                <w:szCs w:val="20"/>
              </w:rPr>
              <w:t xml:space="preserve"> (Participants elect to </w:t>
            </w:r>
            <w:r w:rsidR="00A118DA" w:rsidRPr="00A118DA">
              <w:rPr>
                <w:rFonts w:ascii="Georgia" w:hAnsi="Georgia"/>
                <w:sz w:val="20"/>
                <w:szCs w:val="20"/>
              </w:rPr>
              <w:t>take the stage to share upcoming and desired products for your market</w:t>
            </w:r>
            <w:r w:rsidR="00A118DA">
              <w:rPr>
                <w:rFonts w:ascii="Georgia" w:hAnsi="Georgia"/>
                <w:sz w:val="20"/>
                <w:szCs w:val="20"/>
              </w:rPr>
              <w:t xml:space="preserve"> or general updates</w:t>
            </w:r>
            <w:r w:rsidR="00A118DA" w:rsidRPr="00A118DA">
              <w:rPr>
                <w:rFonts w:ascii="Georgia" w:hAnsi="Georgia"/>
                <w:sz w:val="20"/>
                <w:szCs w:val="20"/>
              </w:rPr>
              <w:t xml:space="preserve">) </w:t>
            </w:r>
          </w:p>
        </w:tc>
        <w:tc>
          <w:tcPr>
            <w:tcW w:w="1313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Stone Tree Banquet Room</w:t>
            </w:r>
          </w:p>
        </w:tc>
      </w:tr>
      <w:tr w:rsidR="00970923" w:rsidRPr="00AF6DAD" w:rsidTr="00A9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970923" w:rsidP="00FB6D27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12:</w:t>
            </w:r>
            <w:r w:rsidR="00FB6D27">
              <w:rPr>
                <w:rFonts w:ascii="Georgia" w:hAnsi="Georgia"/>
                <w:sz w:val="20"/>
                <w:szCs w:val="20"/>
              </w:rPr>
              <w:t>0</w:t>
            </w:r>
            <w:r w:rsidRPr="00AF6DAD">
              <w:rPr>
                <w:rFonts w:ascii="Georgia" w:hAnsi="Georgia"/>
                <w:sz w:val="20"/>
                <w:szCs w:val="20"/>
              </w:rPr>
              <w:t>0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p.m. – </w:t>
            </w:r>
            <w:r w:rsidR="00FB6D27">
              <w:rPr>
                <w:rFonts w:ascii="Georgia" w:hAnsi="Georgia"/>
                <w:sz w:val="20"/>
                <w:szCs w:val="20"/>
              </w:rPr>
              <w:t>1</w:t>
            </w:r>
            <w:r w:rsidRPr="00AF6DAD">
              <w:rPr>
                <w:rFonts w:ascii="Georgia" w:hAnsi="Georgia"/>
                <w:sz w:val="20"/>
                <w:szCs w:val="20"/>
              </w:rPr>
              <w:t>:</w:t>
            </w:r>
            <w:r w:rsidR="00FB6D27">
              <w:rPr>
                <w:rFonts w:ascii="Georgia" w:hAnsi="Georgia"/>
                <w:sz w:val="20"/>
                <w:szCs w:val="20"/>
              </w:rPr>
              <w:t>30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2756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Lunch</w:t>
            </w:r>
          </w:p>
        </w:tc>
        <w:tc>
          <w:tcPr>
            <w:tcW w:w="1313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Stone Tree Patio</w:t>
            </w:r>
          </w:p>
        </w:tc>
      </w:tr>
      <w:tr w:rsidR="00970923" w:rsidRPr="00AF6DAD" w:rsidTr="00A93FE9">
        <w:trPr>
          <w:trHeight w:val="2528"/>
        </w:trPr>
        <w:tc>
          <w:tcPr>
            <w:tcW w:w="931" w:type="pct"/>
          </w:tcPr>
          <w:p w:rsidR="00970923" w:rsidRPr="00AF6DAD" w:rsidRDefault="00FB6D27" w:rsidP="00FB6D2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0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p.m. – 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:00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2756" w:type="pct"/>
          </w:tcPr>
          <w:p w:rsidR="00970923" w:rsidRPr="00FF5F8C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118DA">
              <w:rPr>
                <w:rFonts w:ascii="Georgia" w:hAnsi="Georgia"/>
                <w:b/>
                <w:sz w:val="20"/>
                <w:szCs w:val="20"/>
              </w:rPr>
              <w:t>Break Out Group Discussions</w:t>
            </w:r>
            <w:r w:rsidR="00FF5F8C">
              <w:rPr>
                <w:rFonts w:ascii="Georgia" w:hAnsi="Georgia"/>
                <w:b/>
                <w:sz w:val="20"/>
                <w:szCs w:val="20"/>
              </w:rPr>
              <w:t xml:space="preserve">: </w:t>
            </w:r>
            <w:r w:rsidR="00FF5F8C" w:rsidRPr="00FF5F8C">
              <w:rPr>
                <w:rFonts w:ascii="Georgia" w:hAnsi="Georgia"/>
                <w:sz w:val="20"/>
                <w:szCs w:val="20"/>
              </w:rPr>
              <w:t>Identify group leader and discuss one of the following topics</w:t>
            </w:r>
          </w:p>
          <w:p w:rsidR="002E18D3" w:rsidRDefault="00FB6D27" w:rsidP="002E18D3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 w:rsidRPr="00FF5F8C">
              <w:rPr>
                <w:rFonts w:ascii="Georgia" w:hAnsi="Georgia"/>
                <w:b/>
                <w:sz w:val="20"/>
                <w:szCs w:val="20"/>
                <w:u w:val="single"/>
              </w:rPr>
              <w:t>GPAG Evaluation</w:t>
            </w:r>
            <w:r>
              <w:rPr>
                <w:rFonts w:ascii="Georgia" w:hAnsi="Georgia"/>
                <w:sz w:val="20"/>
                <w:szCs w:val="20"/>
              </w:rPr>
              <w:t xml:space="preserve">: </w:t>
            </w:r>
            <w:r w:rsidR="002E18D3">
              <w:rPr>
                <w:rFonts w:ascii="Georgia" w:hAnsi="Georgia"/>
                <w:sz w:val="20"/>
                <w:szCs w:val="20"/>
              </w:rPr>
              <w:t xml:space="preserve">GPAG has become an unbiased forum for discussion on payment and correspondent banking issues with broad participation from around the </w:t>
            </w:r>
            <w:proofErr w:type="spellStart"/>
            <w:r w:rsidR="002E18D3">
              <w:rPr>
                <w:rFonts w:ascii="Georgia" w:hAnsi="Georgia"/>
                <w:sz w:val="20"/>
                <w:szCs w:val="20"/>
              </w:rPr>
              <w:t>world.</w:t>
            </w:r>
            <w:r w:rsidR="00326C8A">
              <w:rPr>
                <w:rFonts w:ascii="Georgia" w:hAnsi="Georgia"/>
                <w:sz w:val="20"/>
                <w:szCs w:val="20"/>
              </w:rPr>
              <w:t>Provide</w:t>
            </w:r>
            <w:proofErr w:type="spellEnd"/>
            <w:r w:rsidR="00326C8A">
              <w:rPr>
                <w:rFonts w:ascii="Georgia" w:hAnsi="Georgia"/>
                <w:sz w:val="20"/>
                <w:szCs w:val="20"/>
              </w:rPr>
              <w:t xml:space="preserve"> recommendations on how we can leverage the discussions and ideas shared during the GPAG conference and Webinars.</w:t>
            </w:r>
          </w:p>
          <w:p w:rsidR="002E18D3" w:rsidRPr="002E18D3" w:rsidRDefault="00FB6D27" w:rsidP="002E18D3">
            <w:pPr>
              <w:pStyle w:val="ListParagraph"/>
              <w:numPr>
                <w:ilvl w:val="1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Where do we go from here; how can participants get more active; do we look to fund resource and publish industry white papers?</w:t>
            </w:r>
          </w:p>
          <w:p w:rsidR="004E0017" w:rsidRPr="004E0017" w:rsidRDefault="00FB6D27" w:rsidP="00CD0818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 w:rsidRPr="00FF5F8C">
              <w:rPr>
                <w:rFonts w:ascii="Georgia" w:hAnsi="Georgia"/>
                <w:b/>
                <w:sz w:val="20"/>
                <w:szCs w:val="20"/>
                <w:u w:val="single"/>
                <w:lang w:val="en-AU"/>
              </w:rPr>
              <w:t>Correspondent Banking Model</w:t>
            </w:r>
            <w:r w:rsidRPr="00AF6DAD">
              <w:rPr>
                <w:rFonts w:ascii="Georgia" w:hAnsi="Georgia"/>
                <w:sz w:val="20"/>
                <w:szCs w:val="20"/>
                <w:lang w:val="en-AU"/>
              </w:rPr>
              <w:t xml:space="preserve">: </w:t>
            </w:r>
            <w:r w:rsidR="004E0017">
              <w:rPr>
                <w:rFonts w:ascii="Georgia" w:hAnsi="Georgia"/>
                <w:sz w:val="20"/>
                <w:szCs w:val="20"/>
                <w:lang w:val="en-AU"/>
              </w:rPr>
              <w:t xml:space="preserve">Share information about how Correspondent Banking is </w:t>
            </w:r>
            <w:proofErr w:type="gramStart"/>
            <w:r w:rsidR="004E0017">
              <w:rPr>
                <w:rFonts w:ascii="Georgia" w:hAnsi="Georgia"/>
                <w:sz w:val="20"/>
                <w:szCs w:val="20"/>
                <w:lang w:val="en-AU"/>
              </w:rPr>
              <w:t>Structured</w:t>
            </w:r>
            <w:proofErr w:type="gramEnd"/>
            <w:r w:rsidR="004E0017">
              <w:rPr>
                <w:rFonts w:ascii="Georgia" w:hAnsi="Georgia"/>
                <w:sz w:val="20"/>
                <w:szCs w:val="20"/>
                <w:lang w:val="en-AU"/>
              </w:rPr>
              <w:t xml:space="preserve"> within each bank with the goal to provide a summary of best practices which participants may take back for discussion and implementation.</w:t>
            </w:r>
          </w:p>
          <w:p w:rsidR="00FB6D27" w:rsidRPr="00FF5F8C" w:rsidRDefault="00FB6D27" w:rsidP="004E0017">
            <w:pPr>
              <w:pStyle w:val="ListParagraph"/>
              <w:numPr>
                <w:ilvl w:val="1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proofErr w:type="gramStart"/>
            <w:r>
              <w:rPr>
                <w:rFonts w:ascii="Georgia" w:hAnsi="Georgia"/>
                <w:sz w:val="20"/>
                <w:szCs w:val="20"/>
                <w:lang w:val="en-AU"/>
              </w:rPr>
              <w:t>who</w:t>
            </w:r>
            <w:proofErr w:type="gramEnd"/>
            <w:r>
              <w:rPr>
                <w:rFonts w:ascii="Georgia" w:hAnsi="Georgia"/>
                <w:sz w:val="20"/>
                <w:szCs w:val="20"/>
                <w:lang w:val="en-AU"/>
              </w:rPr>
              <w:t xml:space="preserve"> makes decision on selection of providers and how? What are the key decision criteria – is it solely reciprocity and pricing? What value is generated out of RFPs and can they may more specific to decision criteria? Does Network management play a larger role</w:t>
            </w:r>
            <w:r w:rsidR="00FF5F8C">
              <w:rPr>
                <w:rFonts w:ascii="Georgia" w:hAnsi="Georgia"/>
                <w:sz w:val="20"/>
                <w:szCs w:val="20"/>
                <w:lang w:val="en-AU"/>
              </w:rPr>
              <w:t xml:space="preserve"> going forward? Does correspondent banking become more of a vendor relationship given new OCC guidelines?</w:t>
            </w:r>
          </w:p>
          <w:p w:rsidR="004E0017" w:rsidRDefault="00FF5F8C" w:rsidP="00FF5F8C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  <w:u w:val="single"/>
                <w:lang w:val="en-AU"/>
              </w:rPr>
              <w:t>Customer Experience</w:t>
            </w:r>
            <w:r w:rsidRPr="00FF5F8C">
              <w:rPr>
                <w:rFonts w:ascii="Georgia" w:hAnsi="Georgia"/>
                <w:sz w:val="20"/>
                <w:szCs w:val="20"/>
              </w:rPr>
              <w:t>: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 w:rsidR="004E0017">
              <w:rPr>
                <w:rFonts w:ascii="Georgia" w:hAnsi="Georgia"/>
                <w:sz w:val="20"/>
                <w:szCs w:val="20"/>
              </w:rPr>
              <w:t xml:space="preserve">Clients can include our retail and corporate </w:t>
            </w:r>
            <w:r w:rsidR="004E0017">
              <w:rPr>
                <w:rFonts w:ascii="Georgia" w:hAnsi="Georgia"/>
                <w:sz w:val="20"/>
                <w:szCs w:val="20"/>
              </w:rPr>
              <w:lastRenderedPageBreak/>
              <w:t>customers as well as correspondent banks. As transaction banking representatives we are in the buying and selling of services with the ultimate goal to provide a positive client experience. Brainstorm on ideas that would enhance the overall client experience, increasing client retention and satisfaction.</w:t>
            </w:r>
          </w:p>
          <w:p w:rsidR="00970923" w:rsidRPr="00FF5F8C" w:rsidRDefault="00FF5F8C" w:rsidP="004E0017">
            <w:pPr>
              <w:pStyle w:val="ListParagraph"/>
              <w:numPr>
                <w:ilvl w:val="1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How do we measure End to End client experience? How can we look to enhance experience –customized reporting? How do we measure service? What role does technology play? </w:t>
            </w:r>
          </w:p>
        </w:tc>
        <w:tc>
          <w:tcPr>
            <w:tcW w:w="1313" w:type="pct"/>
          </w:tcPr>
          <w:p w:rsidR="00970923" w:rsidRPr="00AF6DAD" w:rsidRDefault="00FF5F8C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lastRenderedPageBreak/>
              <w:t>Stone Tree Patio</w:t>
            </w:r>
          </w:p>
        </w:tc>
      </w:tr>
      <w:tr w:rsidR="00FF5F8C" w:rsidRPr="00AF6DAD" w:rsidTr="00A9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FF5F8C" w:rsidRDefault="00FF5F8C" w:rsidP="00FB6D2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lastRenderedPageBreak/>
              <w:t>3:00 p.m. – 4:15 p.m.</w:t>
            </w:r>
          </w:p>
        </w:tc>
        <w:tc>
          <w:tcPr>
            <w:tcW w:w="2756" w:type="pct"/>
          </w:tcPr>
          <w:p w:rsidR="00FF5F8C" w:rsidRPr="00FF5F8C" w:rsidRDefault="00FF5F8C" w:rsidP="00FF5F8C">
            <w:pPr>
              <w:rPr>
                <w:rFonts w:ascii="Georgia" w:hAnsi="Georgia"/>
                <w:b/>
                <w:sz w:val="20"/>
                <w:szCs w:val="20"/>
              </w:rPr>
            </w:pPr>
            <w:r w:rsidRPr="00FF5F8C">
              <w:rPr>
                <w:rFonts w:ascii="Georgia" w:hAnsi="Georgia"/>
                <w:b/>
                <w:sz w:val="20"/>
                <w:szCs w:val="20"/>
              </w:rPr>
              <w:t xml:space="preserve">Group recap </w:t>
            </w:r>
            <w:r w:rsidRPr="00FF5F8C">
              <w:rPr>
                <w:rFonts w:ascii="Georgia" w:hAnsi="Georgia"/>
                <w:sz w:val="20"/>
                <w:szCs w:val="20"/>
              </w:rPr>
              <w:t>(Each group to Recap discussion including actionable items)</w:t>
            </w:r>
            <w:r>
              <w:rPr>
                <w:rFonts w:ascii="Georgia" w:hAnsi="Georgia"/>
                <w:sz w:val="20"/>
                <w:szCs w:val="20"/>
              </w:rPr>
              <w:t xml:space="preserve"> and Closing Remarks (George Doolittle)</w:t>
            </w:r>
          </w:p>
        </w:tc>
        <w:tc>
          <w:tcPr>
            <w:tcW w:w="1313" w:type="pct"/>
          </w:tcPr>
          <w:p w:rsidR="00FF5F8C" w:rsidRPr="00AF6DAD" w:rsidRDefault="00FF5F8C" w:rsidP="00FB6D27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Stone Tree Banquet Room</w:t>
            </w:r>
          </w:p>
        </w:tc>
      </w:tr>
      <w:tr w:rsidR="00970923" w:rsidRPr="00AF6DAD" w:rsidTr="00A93FE9">
        <w:tc>
          <w:tcPr>
            <w:tcW w:w="931" w:type="pct"/>
          </w:tcPr>
          <w:p w:rsidR="00970923" w:rsidRPr="00AF6DAD" w:rsidRDefault="00A93FE9" w:rsidP="00FF5F8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</w:t>
            </w:r>
            <w:r w:rsidR="00FF5F8C">
              <w:rPr>
                <w:rFonts w:ascii="Georgia" w:hAnsi="Georgia"/>
                <w:sz w:val="20"/>
                <w:szCs w:val="20"/>
              </w:rPr>
              <w:t>15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 xml:space="preserve"> – </w:t>
            </w:r>
            <w:r w:rsidR="00FB6D27">
              <w:rPr>
                <w:rFonts w:ascii="Georgia" w:hAnsi="Georgia"/>
                <w:sz w:val="20"/>
                <w:szCs w:val="20"/>
              </w:rPr>
              <w:t>6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2756" w:type="pct"/>
          </w:tcPr>
          <w:p w:rsidR="00970923" w:rsidRPr="007A1FF5" w:rsidRDefault="00FB6D27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A1FF5">
              <w:rPr>
                <w:rFonts w:ascii="Georgia" w:hAnsi="Georgia"/>
                <w:b/>
                <w:sz w:val="20"/>
                <w:szCs w:val="20"/>
              </w:rPr>
              <w:t>Networking and Cocktail Reception</w:t>
            </w:r>
          </w:p>
        </w:tc>
        <w:tc>
          <w:tcPr>
            <w:tcW w:w="1313" w:type="pct"/>
          </w:tcPr>
          <w:p w:rsidR="00970923" w:rsidRPr="00AF6DAD" w:rsidRDefault="00FB6D27" w:rsidP="00FB6D27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Stone Tree </w:t>
            </w:r>
            <w:r>
              <w:rPr>
                <w:rFonts w:ascii="Georgia" w:hAnsi="Georgia"/>
                <w:sz w:val="20"/>
                <w:szCs w:val="20"/>
              </w:rPr>
              <w:t>Club House</w:t>
            </w:r>
          </w:p>
        </w:tc>
      </w:tr>
      <w:tr w:rsidR="00970923" w:rsidRPr="00AF6DAD" w:rsidTr="00A9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FB6D27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:15</w:t>
            </w:r>
            <w:r w:rsidR="00A93FE9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2756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Bus to return to Hotel</w:t>
            </w:r>
          </w:p>
        </w:tc>
        <w:tc>
          <w:tcPr>
            <w:tcW w:w="1313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910F0C" w:rsidRPr="001553BA" w:rsidRDefault="00910F0C">
      <w:pPr>
        <w:rPr>
          <w:rFonts w:ascii="Georgia" w:hAnsi="Georgia" w:cs="Georgia"/>
          <w:b/>
          <w:bCs/>
          <w:i/>
          <w:sz w:val="24"/>
          <w:szCs w:val="24"/>
        </w:rPr>
      </w:pPr>
      <w:r w:rsidRPr="00910F0C">
        <w:rPr>
          <w:rFonts w:ascii="Georgia" w:hAnsi="Georgia" w:cs="Georgia"/>
          <w:b/>
          <w:bCs/>
          <w:sz w:val="24"/>
          <w:szCs w:val="24"/>
        </w:rPr>
        <w:t>Thursday June 5</w:t>
      </w:r>
      <w:r w:rsidR="00255DBE">
        <w:rPr>
          <w:rFonts w:ascii="Georgia" w:hAnsi="Georgia" w:cs="Georgia"/>
          <w:b/>
          <w:bCs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br/>
      </w:r>
      <w:r w:rsidR="001553BA" w:rsidRPr="001553BA">
        <w:rPr>
          <w:rFonts w:ascii="Georgia" w:hAnsi="Georgia" w:cs="Georgia"/>
          <w:b/>
          <w:bCs/>
          <w:i/>
          <w:sz w:val="24"/>
          <w:szCs w:val="24"/>
        </w:rPr>
        <w:t>Innovation Symposium: Stanford University, Alumni Club (Silicon Valley)</w:t>
      </w:r>
    </w:p>
    <w:tbl>
      <w:tblPr>
        <w:tblStyle w:val="MediumGrid3-Accent4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56"/>
        <w:gridCol w:w="3300"/>
        <w:gridCol w:w="3968"/>
        <w:gridCol w:w="3466"/>
      </w:tblGrid>
      <w:tr w:rsidR="004016BA" w:rsidRPr="00AF6DAD" w:rsidTr="0025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31" w:type="pct"/>
          </w:tcPr>
          <w:p w:rsidR="004016BA" w:rsidRPr="00AF6DAD" w:rsidRDefault="004016BA" w:rsidP="00CD0818">
            <w:pPr>
              <w:rPr>
                <w:rFonts w:ascii="Georgia" w:hAnsi="Georgia"/>
                <w:b w:val="0"/>
                <w:bCs w:val="0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Time</w:t>
            </w:r>
          </w:p>
        </w:tc>
        <w:tc>
          <w:tcPr>
            <w:tcW w:w="2755" w:type="pct"/>
            <w:gridSpan w:val="2"/>
          </w:tcPr>
          <w:p w:rsidR="004016BA" w:rsidRPr="004016BA" w:rsidRDefault="004016BA" w:rsidP="00CD0818">
            <w:pPr>
              <w:rPr>
                <w:rFonts w:ascii="Georgia" w:hAnsi="Georgia"/>
                <w:sz w:val="20"/>
                <w:szCs w:val="20"/>
              </w:rPr>
            </w:pPr>
            <w:r w:rsidRPr="004016BA">
              <w:rPr>
                <w:rFonts w:ascii="Georgia" w:hAnsi="Georgia"/>
                <w:sz w:val="20"/>
                <w:szCs w:val="20"/>
              </w:rPr>
              <w:t>Topic</w:t>
            </w:r>
          </w:p>
        </w:tc>
        <w:tc>
          <w:tcPr>
            <w:tcW w:w="1314" w:type="pct"/>
          </w:tcPr>
          <w:p w:rsidR="004016BA" w:rsidRPr="00AF6DAD" w:rsidRDefault="004016BA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Speaker</w:t>
            </w:r>
          </w:p>
        </w:tc>
      </w:tr>
      <w:tr w:rsidR="00970923" w:rsidRPr="00AF6DAD" w:rsidTr="0025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8:00 </w:t>
            </w:r>
            <w:r w:rsidR="00255DBE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9:00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2755" w:type="pct"/>
            <w:gridSpan w:val="2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Breakfast</w:t>
            </w:r>
          </w:p>
        </w:tc>
        <w:tc>
          <w:tcPr>
            <w:tcW w:w="131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Omni Hotel</w:t>
            </w:r>
          </w:p>
        </w:tc>
      </w:tr>
      <w:tr w:rsidR="00970923" w:rsidRPr="00AF6DAD" w:rsidTr="00255DBE">
        <w:tc>
          <w:tcPr>
            <w:tcW w:w="931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9:00 </w:t>
            </w:r>
            <w:r w:rsidR="00255DBE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10:30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2755" w:type="pct"/>
            <w:gridSpan w:val="2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Bus to Stanford University Campus</w:t>
            </w:r>
          </w:p>
        </w:tc>
        <w:tc>
          <w:tcPr>
            <w:tcW w:w="131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970923" w:rsidRPr="00AF6DAD" w:rsidTr="0025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10:30 </w:t>
            </w:r>
            <w:r w:rsidR="00255DBE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11:30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a.m.</w:t>
            </w:r>
          </w:p>
        </w:tc>
        <w:tc>
          <w:tcPr>
            <w:tcW w:w="2755" w:type="pct"/>
            <w:gridSpan w:val="2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Tour of Campus</w:t>
            </w:r>
          </w:p>
        </w:tc>
        <w:tc>
          <w:tcPr>
            <w:tcW w:w="131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970923" w:rsidRPr="00AF6DAD" w:rsidTr="00255DBE">
        <w:tc>
          <w:tcPr>
            <w:tcW w:w="931" w:type="pct"/>
          </w:tcPr>
          <w:p w:rsidR="00970923" w:rsidRPr="00AF6DAD" w:rsidRDefault="00970923" w:rsidP="003F1E37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 xml:space="preserve">11:30 </w:t>
            </w:r>
            <w:r w:rsidR="00255DBE">
              <w:rPr>
                <w:rFonts w:ascii="Georgia" w:hAnsi="Georgia"/>
                <w:sz w:val="20"/>
                <w:szCs w:val="20"/>
              </w:rPr>
              <w:t>a.m.</w:t>
            </w:r>
            <w:r w:rsidRPr="00AF6DAD">
              <w:rPr>
                <w:rFonts w:ascii="Georgia" w:hAnsi="Georgia"/>
                <w:sz w:val="20"/>
                <w:szCs w:val="20"/>
              </w:rPr>
              <w:t>– 12:</w:t>
            </w:r>
            <w:r w:rsidR="003F1E37">
              <w:rPr>
                <w:rFonts w:ascii="Georgia" w:hAnsi="Georgia"/>
                <w:sz w:val="20"/>
                <w:szCs w:val="20"/>
              </w:rPr>
              <w:t>0</w:t>
            </w:r>
            <w:r w:rsidRPr="00AF6DAD">
              <w:rPr>
                <w:rFonts w:ascii="Georgia" w:hAnsi="Georgia"/>
                <w:sz w:val="20"/>
                <w:szCs w:val="20"/>
              </w:rPr>
              <w:t>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51" w:type="pct"/>
          </w:tcPr>
          <w:p w:rsidR="00970923" w:rsidRPr="00AF6DAD" w:rsidRDefault="007A1FF5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Opening Remarks</w:t>
            </w:r>
          </w:p>
        </w:tc>
        <w:tc>
          <w:tcPr>
            <w:tcW w:w="1504" w:type="pct"/>
          </w:tcPr>
          <w:p w:rsidR="00970923" w:rsidRPr="00AF6DAD" w:rsidRDefault="007A1FF5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Innovation and Cyber Security</w:t>
            </w:r>
          </w:p>
        </w:tc>
        <w:tc>
          <w:tcPr>
            <w:tcW w:w="131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Steve Ellis, Wells Fargo Head of Wholesale Services</w:t>
            </w:r>
          </w:p>
        </w:tc>
      </w:tr>
      <w:tr w:rsidR="00970923" w:rsidRPr="00AF6DAD" w:rsidTr="0025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970923" w:rsidP="007A1FF5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12:</w:t>
            </w:r>
            <w:r w:rsidR="007A1FF5">
              <w:rPr>
                <w:rFonts w:ascii="Georgia" w:hAnsi="Georgia"/>
                <w:sz w:val="20"/>
                <w:szCs w:val="20"/>
              </w:rPr>
              <w:t>0</w:t>
            </w:r>
            <w:r w:rsidRPr="00AF6DAD">
              <w:rPr>
                <w:rFonts w:ascii="Georgia" w:hAnsi="Georgia"/>
                <w:sz w:val="20"/>
                <w:szCs w:val="20"/>
              </w:rPr>
              <w:t xml:space="preserve">0 </w:t>
            </w:r>
            <w:r w:rsidR="00255DBE">
              <w:rPr>
                <w:rFonts w:ascii="Georgia" w:hAnsi="Georgia"/>
                <w:sz w:val="20"/>
                <w:szCs w:val="20"/>
              </w:rPr>
              <w:t>p.m.– 2</w:t>
            </w:r>
            <w:r w:rsidRPr="00AF6DAD">
              <w:rPr>
                <w:rFonts w:ascii="Georgia" w:hAnsi="Georgia"/>
                <w:sz w:val="20"/>
                <w:szCs w:val="20"/>
              </w:rPr>
              <w:t>:00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51" w:type="pct"/>
          </w:tcPr>
          <w:p w:rsidR="00970923" w:rsidRPr="007A1FF5" w:rsidRDefault="00970923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A1FF5">
              <w:rPr>
                <w:rFonts w:ascii="Georgia" w:hAnsi="Georgia"/>
                <w:b/>
                <w:sz w:val="20"/>
                <w:szCs w:val="20"/>
              </w:rPr>
              <w:t>Working Lunch</w:t>
            </w:r>
          </w:p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504" w:type="pct"/>
          </w:tcPr>
          <w:p w:rsidR="00970923" w:rsidRPr="00AF6DAD" w:rsidRDefault="007A1FF5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TBD</w:t>
            </w:r>
          </w:p>
        </w:tc>
        <w:tc>
          <w:tcPr>
            <w:tcW w:w="1314" w:type="pct"/>
          </w:tcPr>
          <w:p w:rsidR="00970923" w:rsidRPr="00AF6DAD" w:rsidRDefault="007A1FF5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TBD</w:t>
            </w:r>
          </w:p>
        </w:tc>
      </w:tr>
      <w:tr w:rsidR="00970923" w:rsidRPr="00AF6DAD" w:rsidTr="00255DBE">
        <w:tc>
          <w:tcPr>
            <w:tcW w:w="931" w:type="pct"/>
          </w:tcPr>
          <w:p w:rsidR="00970923" w:rsidRPr="00AF6DAD" w:rsidRDefault="00255DBE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 – 4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51" w:type="pct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>Innovation in a Dynamic Regulated Environment</w:t>
            </w:r>
          </w:p>
        </w:tc>
        <w:tc>
          <w:tcPr>
            <w:tcW w:w="150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TBD</w:t>
            </w:r>
          </w:p>
        </w:tc>
        <w:tc>
          <w:tcPr>
            <w:tcW w:w="131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Professor of Economics Stanford Business School</w:t>
            </w:r>
            <w:r w:rsidR="004E0017">
              <w:rPr>
                <w:rFonts w:ascii="Georgia" w:hAnsi="Georgia"/>
                <w:sz w:val="20"/>
                <w:szCs w:val="20"/>
              </w:rPr>
              <w:t xml:space="preserve"> (to be confirmed)</w:t>
            </w:r>
          </w:p>
        </w:tc>
      </w:tr>
      <w:tr w:rsidR="00970923" w:rsidRPr="00AF6DAD" w:rsidTr="0025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255DBE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p.m.-5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1251" w:type="pct"/>
          </w:tcPr>
          <w:p w:rsidR="00970923" w:rsidRPr="00AF6DAD" w:rsidRDefault="00970923" w:rsidP="007A1FF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AF6DAD">
              <w:rPr>
                <w:rFonts w:ascii="Georgia" w:hAnsi="Georgia"/>
                <w:b/>
                <w:sz w:val="20"/>
                <w:szCs w:val="20"/>
              </w:rPr>
              <w:t xml:space="preserve">Overview of Regulatory Compliance from a Non-Bank </w:t>
            </w:r>
            <w:r w:rsidRPr="00AF6DAD">
              <w:rPr>
                <w:rFonts w:ascii="Georgia" w:hAnsi="Georgia"/>
                <w:b/>
                <w:sz w:val="20"/>
                <w:szCs w:val="20"/>
              </w:rPr>
              <w:lastRenderedPageBreak/>
              <w:t>Payment Provider</w:t>
            </w:r>
          </w:p>
        </w:tc>
        <w:tc>
          <w:tcPr>
            <w:tcW w:w="150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lastRenderedPageBreak/>
              <w:t>How does a global service provider handle the compliance challenge</w:t>
            </w:r>
          </w:p>
        </w:tc>
        <w:tc>
          <w:tcPr>
            <w:tcW w:w="1314" w:type="pct"/>
          </w:tcPr>
          <w:p w:rsidR="00970923" w:rsidRPr="00AF6DAD" w:rsidRDefault="004E0017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 To be confirmed</w:t>
            </w:r>
          </w:p>
        </w:tc>
      </w:tr>
      <w:tr w:rsidR="00970923" w:rsidRPr="00AF6DAD" w:rsidTr="00255DBE">
        <w:tc>
          <w:tcPr>
            <w:tcW w:w="931" w:type="pct"/>
          </w:tcPr>
          <w:p w:rsidR="00970923" w:rsidRPr="00AF6DAD" w:rsidRDefault="007A1FF5" w:rsidP="007A1FF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lastRenderedPageBreak/>
              <w:t>5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</w:t>
            </w:r>
            <w:r>
              <w:rPr>
                <w:rFonts w:ascii="Georgia" w:hAnsi="Georgia"/>
                <w:sz w:val="20"/>
                <w:szCs w:val="20"/>
              </w:rPr>
              <w:t>0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p.m. – </w:t>
            </w:r>
            <w:r>
              <w:rPr>
                <w:rFonts w:ascii="Georgia" w:hAnsi="Georgia"/>
                <w:sz w:val="20"/>
                <w:szCs w:val="20"/>
              </w:rPr>
              <w:t>6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</w:t>
            </w:r>
            <w:r>
              <w:rPr>
                <w:rFonts w:ascii="Georgia" w:hAnsi="Georgia"/>
                <w:sz w:val="20"/>
                <w:szCs w:val="20"/>
              </w:rPr>
              <w:t>0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2755" w:type="pct"/>
            <w:gridSpan w:val="2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Journey Back to SF</w:t>
            </w:r>
          </w:p>
        </w:tc>
        <w:tc>
          <w:tcPr>
            <w:tcW w:w="131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970923" w:rsidRPr="00AF6DAD" w:rsidTr="0025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970923" w:rsidRPr="00AF6DAD" w:rsidRDefault="00255DBE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:00</w:t>
            </w:r>
            <w:r>
              <w:rPr>
                <w:rFonts w:ascii="Georgia" w:hAnsi="Georgia"/>
                <w:sz w:val="20"/>
                <w:szCs w:val="20"/>
              </w:rPr>
              <w:t xml:space="preserve"> p.m.</w:t>
            </w:r>
          </w:p>
        </w:tc>
        <w:tc>
          <w:tcPr>
            <w:tcW w:w="2755" w:type="pct"/>
            <w:gridSpan w:val="2"/>
          </w:tcPr>
          <w:p w:rsidR="00970923" w:rsidRPr="00AF6DAD" w:rsidRDefault="00970923" w:rsidP="00CD081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Farewell Dinner</w:t>
            </w:r>
          </w:p>
        </w:tc>
        <w:tc>
          <w:tcPr>
            <w:tcW w:w="131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AF6DAD">
              <w:rPr>
                <w:rFonts w:ascii="Georgia" w:hAnsi="Georgia"/>
                <w:sz w:val="20"/>
                <w:szCs w:val="20"/>
              </w:rPr>
              <w:t>Bocadillos</w:t>
            </w:r>
            <w:proofErr w:type="spellEnd"/>
          </w:p>
        </w:tc>
      </w:tr>
    </w:tbl>
    <w:p w:rsidR="00B0708C" w:rsidRPr="00B0708C" w:rsidRDefault="00B0708C">
      <w:pPr>
        <w:rPr>
          <w:rFonts w:ascii="Georgia" w:hAnsi="Georgia" w:cs="Georgia"/>
          <w:b/>
          <w:bCs/>
          <w:sz w:val="6"/>
          <w:szCs w:val="6"/>
        </w:rPr>
      </w:pPr>
    </w:p>
    <w:p w:rsidR="00970923" w:rsidRPr="00B52AB9" w:rsidRDefault="00B52AB9">
      <w:pPr>
        <w:rPr>
          <w:rFonts w:ascii="Georgia" w:hAnsi="Georgia" w:cs="Georgia"/>
          <w:b/>
          <w:bCs/>
          <w:sz w:val="24"/>
          <w:szCs w:val="24"/>
        </w:rPr>
      </w:pPr>
      <w:r w:rsidRPr="00B52AB9">
        <w:rPr>
          <w:rFonts w:ascii="Georgia" w:hAnsi="Georgia" w:cs="Georgia"/>
          <w:b/>
          <w:bCs/>
          <w:sz w:val="24"/>
          <w:szCs w:val="24"/>
        </w:rPr>
        <w:t>Friday June 6</w:t>
      </w:r>
      <w:r w:rsidR="00255DBE">
        <w:rPr>
          <w:rFonts w:ascii="Georgia" w:hAnsi="Georgia" w:cs="Georgia"/>
          <w:b/>
          <w:bCs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sz w:val="24"/>
          <w:szCs w:val="24"/>
        </w:rPr>
        <w:br/>
        <w:t>(Optional Activity) – Meet in Omni Hotel lobby by TBD</w:t>
      </w:r>
    </w:p>
    <w:tbl>
      <w:tblPr>
        <w:tblStyle w:val="MediumGrid3-Accent4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56"/>
        <w:gridCol w:w="3300"/>
        <w:gridCol w:w="3968"/>
        <w:gridCol w:w="3466"/>
      </w:tblGrid>
      <w:tr w:rsidR="00B52AB9" w:rsidRPr="00AF6DAD" w:rsidTr="0025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31" w:type="pct"/>
          </w:tcPr>
          <w:p w:rsidR="00B52AB9" w:rsidRPr="00AF6DAD" w:rsidRDefault="00B52AB9" w:rsidP="00CD0818">
            <w:pPr>
              <w:rPr>
                <w:rFonts w:ascii="Georgia" w:hAnsi="Georgia"/>
                <w:b w:val="0"/>
                <w:bCs w:val="0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Time</w:t>
            </w:r>
          </w:p>
        </w:tc>
        <w:tc>
          <w:tcPr>
            <w:tcW w:w="2755" w:type="pct"/>
            <w:gridSpan w:val="2"/>
          </w:tcPr>
          <w:p w:rsidR="00B52AB9" w:rsidRPr="00AF6DAD" w:rsidRDefault="00B52AB9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Topic</w:t>
            </w:r>
          </w:p>
        </w:tc>
        <w:tc>
          <w:tcPr>
            <w:tcW w:w="1314" w:type="pct"/>
          </w:tcPr>
          <w:p w:rsidR="00B52AB9" w:rsidRPr="00AF6DAD" w:rsidRDefault="00B52AB9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Speaker</w:t>
            </w:r>
          </w:p>
        </w:tc>
      </w:tr>
      <w:tr w:rsidR="00BD4470" w:rsidRPr="00BD4470" w:rsidTr="0025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1" w:type="pct"/>
          </w:tcPr>
          <w:p w:rsidR="007A1FF5" w:rsidRPr="00BD4470" w:rsidRDefault="007A1FF5" w:rsidP="007A1FF5">
            <w:pPr>
              <w:rPr>
                <w:rFonts w:ascii="Georgia" w:hAnsi="Georgia"/>
                <w:sz w:val="20"/>
                <w:szCs w:val="20"/>
              </w:rPr>
            </w:pPr>
            <w:r w:rsidRPr="00BD4470">
              <w:rPr>
                <w:rFonts w:ascii="Georgia" w:hAnsi="Georgia"/>
                <w:sz w:val="20"/>
                <w:szCs w:val="20"/>
              </w:rPr>
              <w:t>8:30 – 10:00 a.m.</w:t>
            </w:r>
          </w:p>
        </w:tc>
        <w:tc>
          <w:tcPr>
            <w:tcW w:w="1251" w:type="pct"/>
          </w:tcPr>
          <w:p w:rsidR="007A1FF5" w:rsidRPr="00BD4470" w:rsidRDefault="007A1FF5" w:rsidP="00CD0818">
            <w:pPr>
              <w:rPr>
                <w:rFonts w:ascii="Georgia" w:hAnsi="Georgia"/>
                <w:sz w:val="20"/>
                <w:szCs w:val="20"/>
              </w:rPr>
            </w:pPr>
            <w:r w:rsidRPr="00BD4470">
              <w:rPr>
                <w:rFonts w:ascii="Georgia" w:hAnsi="Georgia"/>
                <w:sz w:val="20"/>
                <w:szCs w:val="20"/>
              </w:rPr>
              <w:t>Federal Reserve Bank of San Francisco Tour</w:t>
            </w:r>
          </w:p>
        </w:tc>
        <w:tc>
          <w:tcPr>
            <w:tcW w:w="1504" w:type="pct"/>
          </w:tcPr>
          <w:p w:rsidR="007A1FF5" w:rsidRPr="00BD4470" w:rsidRDefault="00BF2560" w:rsidP="00CD0818">
            <w:pPr>
              <w:rPr>
                <w:rFonts w:ascii="Georgia" w:hAnsi="Georgia"/>
                <w:sz w:val="20"/>
                <w:szCs w:val="20"/>
              </w:rPr>
            </w:pPr>
            <w:r w:rsidRPr="00BD4470">
              <w:rPr>
                <w:rFonts w:ascii="Georgia" w:hAnsi="Georgia"/>
                <w:sz w:val="20"/>
                <w:szCs w:val="20"/>
              </w:rPr>
              <w:t>T</w:t>
            </w:r>
            <w:r w:rsidR="00CA25AA" w:rsidRPr="00BD4470">
              <w:rPr>
                <w:rFonts w:ascii="Georgia" w:hAnsi="Georgia"/>
                <w:sz w:val="20"/>
                <w:szCs w:val="20"/>
              </w:rPr>
              <w:t>he purposes and functions of the Federal Reserve System and the banking supervision and regulation system in the US.</w:t>
            </w:r>
          </w:p>
        </w:tc>
        <w:tc>
          <w:tcPr>
            <w:tcW w:w="1314" w:type="pct"/>
          </w:tcPr>
          <w:p w:rsidR="007A1FF5" w:rsidRPr="00BD4470" w:rsidRDefault="0054617F" w:rsidP="00CD0818">
            <w:pPr>
              <w:rPr>
                <w:rFonts w:ascii="Georgia" w:hAnsi="Georgia"/>
                <w:sz w:val="20"/>
                <w:szCs w:val="20"/>
              </w:rPr>
            </w:pPr>
            <w:r w:rsidRPr="00BD4470">
              <w:rPr>
                <w:rFonts w:ascii="Georgia" w:hAnsi="Georgia"/>
                <w:sz w:val="20"/>
                <w:szCs w:val="20"/>
              </w:rPr>
              <w:t>Marty Tunnell , Senior Examiner in the Risk Monitoring and Analysis Group of the Federal Reserve Bank of San Francisco</w:t>
            </w:r>
          </w:p>
        </w:tc>
      </w:tr>
      <w:tr w:rsidR="00970923" w:rsidRPr="00AF6DAD" w:rsidTr="00255DBE">
        <w:tc>
          <w:tcPr>
            <w:tcW w:w="931" w:type="pct"/>
          </w:tcPr>
          <w:p w:rsidR="00970923" w:rsidRPr="00AF6DAD" w:rsidRDefault="007A1FF5" w:rsidP="007A1FF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 xml:space="preserve">:30 </w:t>
            </w:r>
            <w:r w:rsidR="00255DBE">
              <w:rPr>
                <w:rFonts w:ascii="Georgia" w:hAnsi="Georgia"/>
                <w:sz w:val="20"/>
                <w:szCs w:val="20"/>
              </w:rPr>
              <w:t>a.m.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– 1</w:t>
            </w:r>
            <w:r>
              <w:rPr>
                <w:rFonts w:ascii="Georgia" w:hAnsi="Georgia"/>
                <w:sz w:val="20"/>
                <w:szCs w:val="20"/>
              </w:rPr>
              <w:t>2</w:t>
            </w:r>
            <w:r w:rsidR="00970923" w:rsidRPr="00AF6DAD">
              <w:rPr>
                <w:rFonts w:ascii="Georgia" w:hAnsi="Georgia"/>
                <w:sz w:val="20"/>
                <w:szCs w:val="20"/>
              </w:rPr>
              <w:t>:30</w:t>
            </w:r>
            <w:r w:rsidR="00255DBE"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>p</w:t>
            </w:r>
            <w:r w:rsidR="00255DBE">
              <w:rPr>
                <w:rFonts w:ascii="Georgia" w:hAnsi="Georgia"/>
                <w:sz w:val="20"/>
                <w:szCs w:val="20"/>
              </w:rPr>
              <w:t>.m.</w:t>
            </w:r>
          </w:p>
        </w:tc>
        <w:tc>
          <w:tcPr>
            <w:tcW w:w="1251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Community Event</w:t>
            </w:r>
          </w:p>
        </w:tc>
        <w:tc>
          <w:tcPr>
            <w:tcW w:w="1504" w:type="pct"/>
          </w:tcPr>
          <w:p w:rsidR="00970923" w:rsidRPr="00AF6DAD" w:rsidRDefault="00970923" w:rsidP="00CD0818">
            <w:pPr>
              <w:rPr>
                <w:rFonts w:ascii="Georgia" w:hAnsi="Georgia"/>
                <w:sz w:val="20"/>
                <w:szCs w:val="20"/>
              </w:rPr>
            </w:pPr>
            <w:r w:rsidRPr="00AF6DAD">
              <w:rPr>
                <w:rFonts w:ascii="Georgia" w:hAnsi="Georgia"/>
                <w:sz w:val="20"/>
                <w:szCs w:val="20"/>
              </w:rPr>
              <w:t>Upwardly Global</w:t>
            </w:r>
          </w:p>
        </w:tc>
        <w:tc>
          <w:tcPr>
            <w:tcW w:w="1314" w:type="pct"/>
          </w:tcPr>
          <w:p w:rsidR="00970923" w:rsidRPr="00AF6DAD" w:rsidRDefault="007A1FF5" w:rsidP="00CD081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WF Learning Center</w:t>
            </w:r>
          </w:p>
        </w:tc>
      </w:tr>
    </w:tbl>
    <w:p w:rsidR="00970923" w:rsidRPr="00AF6DAD" w:rsidRDefault="00970923" w:rsidP="00B0708C">
      <w:pPr>
        <w:tabs>
          <w:tab w:val="left" w:pos="1605"/>
        </w:tabs>
        <w:rPr>
          <w:rFonts w:ascii="Georgia" w:hAnsi="Georgia"/>
          <w:sz w:val="20"/>
          <w:szCs w:val="20"/>
        </w:rPr>
      </w:pPr>
    </w:p>
    <w:sectPr w:rsidR="00970923" w:rsidRPr="00AF6DAD" w:rsidSect="00E72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389" w:rsidRDefault="00565389" w:rsidP="00E723BB">
      <w:pPr>
        <w:spacing w:after="0" w:line="240" w:lineRule="auto"/>
      </w:pPr>
      <w:r>
        <w:separator/>
      </w:r>
    </w:p>
  </w:endnote>
  <w:endnote w:type="continuationSeparator" w:id="0">
    <w:p w:rsidR="00565389" w:rsidRDefault="00565389" w:rsidP="00E7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er Book">
    <w:panose1 w:val="00000000000000000000"/>
    <w:charset w:val="00"/>
    <w:family w:val="modern"/>
    <w:notTrueType/>
    <w:pitch w:val="variable"/>
    <w:sig w:usb0="A00000FF" w:usb1="4000005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6C" w:rsidRDefault="00B33F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6C" w:rsidRDefault="00B33F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6C" w:rsidRDefault="00B33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389" w:rsidRDefault="00565389" w:rsidP="00E723BB">
      <w:pPr>
        <w:spacing w:after="0" w:line="240" w:lineRule="auto"/>
      </w:pPr>
      <w:r>
        <w:separator/>
      </w:r>
    </w:p>
  </w:footnote>
  <w:footnote w:type="continuationSeparator" w:id="0">
    <w:p w:rsidR="00565389" w:rsidRDefault="00565389" w:rsidP="00E72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6C" w:rsidRDefault="00B33F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3BB" w:rsidRPr="00F532F4" w:rsidRDefault="00E723BB" w:rsidP="00E723BB">
    <w:pPr>
      <w:pStyle w:val="Header"/>
      <w:jc w:val="center"/>
      <w:rPr>
        <w:color w:val="739600" w:themeColor="background2"/>
      </w:rPr>
    </w:pPr>
    <w:r w:rsidRPr="00F532F4">
      <w:rPr>
        <w:rFonts w:ascii="Georgia" w:hAnsi="Georgia" w:cs="Georgia"/>
        <w:color w:val="739600" w:themeColor="background2"/>
        <w:sz w:val="44"/>
        <w:szCs w:val="44"/>
      </w:rPr>
      <w:t>201</w:t>
    </w:r>
    <w:r w:rsidR="00255DBE" w:rsidRPr="00F532F4">
      <w:rPr>
        <w:rFonts w:ascii="Georgia" w:hAnsi="Georgia" w:cs="Georgia"/>
        <w:color w:val="739600" w:themeColor="background2"/>
        <w:sz w:val="44"/>
        <w:szCs w:val="44"/>
      </w:rPr>
      <w:t>4</w:t>
    </w:r>
    <w:r w:rsidRPr="00F532F4">
      <w:rPr>
        <w:rFonts w:ascii="Georgia" w:hAnsi="Georgia" w:cs="Georgia"/>
        <w:color w:val="739600" w:themeColor="background2"/>
        <w:sz w:val="44"/>
        <w:szCs w:val="44"/>
      </w:rPr>
      <w:t xml:space="preserve"> Global Payments Advisory Group Conference Agenda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3BB" w:rsidRPr="00314C7F" w:rsidRDefault="00ED375C" w:rsidP="00314C7F">
    <w:pPr>
      <w:pStyle w:val="Header"/>
      <w:jc w:val="right"/>
      <w:rPr>
        <w:rFonts w:cstheme="minorHAnsi"/>
        <w:b/>
        <w:sz w:val="36"/>
        <w:szCs w:val="36"/>
      </w:rPr>
    </w:pPr>
    <w:sdt>
      <w:sdtPr>
        <w:rPr>
          <w:rFonts w:cstheme="minorHAnsi"/>
          <w:b/>
          <w:sz w:val="36"/>
          <w:szCs w:val="36"/>
        </w:rPr>
        <w:id w:val="1704291377"/>
        <w:docPartObj>
          <w:docPartGallery w:val="Watermarks"/>
          <w:docPartUnique/>
        </w:docPartObj>
      </w:sdtPr>
      <w:sdtEndPr/>
      <w:sdtContent>
        <w:r>
          <w:rPr>
            <w:rFonts w:cstheme="minorHAnsi"/>
            <w:b/>
            <w:noProof/>
            <w:sz w:val="36"/>
            <w:szCs w:val="3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6385" type="#_x0000_t136" style="position:absolute;left:0;text-align:left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AF6DAD" w:rsidRPr="00314C7F">
      <w:rPr>
        <w:rFonts w:cstheme="minorHAnsi"/>
        <w:b/>
        <w:noProof/>
        <w:sz w:val="36"/>
        <w:szCs w:val="36"/>
      </w:rPr>
      <w:drawing>
        <wp:anchor distT="0" distB="0" distL="114300" distR="114300" simplePos="0" relativeHeight="251657216" behindDoc="0" locked="0" layoutInCell="1" allowOverlap="1" wp14:anchorId="6901598C" wp14:editId="73D55202">
          <wp:simplePos x="0" y="0"/>
          <wp:positionH relativeFrom="column">
            <wp:posOffset>7608620</wp:posOffset>
          </wp:positionH>
          <wp:positionV relativeFrom="paragraph">
            <wp:posOffset>458189</wp:posOffset>
          </wp:positionV>
          <wp:extent cx="640080" cy="640080"/>
          <wp:effectExtent l="0" t="0" r="762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lls Fargo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712E"/>
    <w:multiLevelType w:val="hybridMultilevel"/>
    <w:tmpl w:val="8DEE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43B8"/>
    <w:multiLevelType w:val="hybridMultilevel"/>
    <w:tmpl w:val="3FEC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F850C3"/>
    <w:multiLevelType w:val="hybridMultilevel"/>
    <w:tmpl w:val="F8382EA4"/>
    <w:lvl w:ilvl="0" w:tplc="0C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81562F"/>
    <w:multiLevelType w:val="hybridMultilevel"/>
    <w:tmpl w:val="1BC6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749B4"/>
    <w:multiLevelType w:val="hybridMultilevel"/>
    <w:tmpl w:val="9FD8C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B63572"/>
    <w:multiLevelType w:val="hybridMultilevel"/>
    <w:tmpl w:val="197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F0C55"/>
    <w:multiLevelType w:val="hybridMultilevel"/>
    <w:tmpl w:val="BADC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92F37"/>
    <w:multiLevelType w:val="hybridMultilevel"/>
    <w:tmpl w:val="E4066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5429F8"/>
    <w:multiLevelType w:val="hybridMultilevel"/>
    <w:tmpl w:val="820A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D211E"/>
    <w:multiLevelType w:val="hybridMultilevel"/>
    <w:tmpl w:val="598C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6386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DE7323"/>
    <w:rsid w:val="0000045C"/>
    <w:rsid w:val="00044F86"/>
    <w:rsid w:val="0006141A"/>
    <w:rsid w:val="0007077F"/>
    <w:rsid w:val="00071239"/>
    <w:rsid w:val="00081A72"/>
    <w:rsid w:val="00086CCD"/>
    <w:rsid w:val="00090F36"/>
    <w:rsid w:val="000B79CA"/>
    <w:rsid w:val="000E0FB3"/>
    <w:rsid w:val="000F332B"/>
    <w:rsid w:val="000F6F67"/>
    <w:rsid w:val="00100D23"/>
    <w:rsid w:val="00105FE6"/>
    <w:rsid w:val="001279C2"/>
    <w:rsid w:val="00131C97"/>
    <w:rsid w:val="001553BA"/>
    <w:rsid w:val="001716C1"/>
    <w:rsid w:val="00185FD6"/>
    <w:rsid w:val="0018722D"/>
    <w:rsid w:val="001D0BA4"/>
    <w:rsid w:val="0021400D"/>
    <w:rsid w:val="0024476C"/>
    <w:rsid w:val="00255DBE"/>
    <w:rsid w:val="00281B22"/>
    <w:rsid w:val="002A22F4"/>
    <w:rsid w:val="002C157C"/>
    <w:rsid w:val="002C4BEA"/>
    <w:rsid w:val="002D7C67"/>
    <w:rsid w:val="002E18D3"/>
    <w:rsid w:val="002E4C24"/>
    <w:rsid w:val="002F75FA"/>
    <w:rsid w:val="0031212D"/>
    <w:rsid w:val="00314C7F"/>
    <w:rsid w:val="00326C8A"/>
    <w:rsid w:val="003452EE"/>
    <w:rsid w:val="00353247"/>
    <w:rsid w:val="0036389A"/>
    <w:rsid w:val="003877DB"/>
    <w:rsid w:val="003B77A0"/>
    <w:rsid w:val="003D0D73"/>
    <w:rsid w:val="003E6A93"/>
    <w:rsid w:val="003F1E37"/>
    <w:rsid w:val="004016BA"/>
    <w:rsid w:val="00443B23"/>
    <w:rsid w:val="00495C4C"/>
    <w:rsid w:val="004E0017"/>
    <w:rsid w:val="004F062F"/>
    <w:rsid w:val="004F4479"/>
    <w:rsid w:val="00510030"/>
    <w:rsid w:val="00521A70"/>
    <w:rsid w:val="00522388"/>
    <w:rsid w:val="00522947"/>
    <w:rsid w:val="00526516"/>
    <w:rsid w:val="005301B8"/>
    <w:rsid w:val="00541E08"/>
    <w:rsid w:val="0054617F"/>
    <w:rsid w:val="00565389"/>
    <w:rsid w:val="005929E5"/>
    <w:rsid w:val="00593C89"/>
    <w:rsid w:val="00597B93"/>
    <w:rsid w:val="005B0B33"/>
    <w:rsid w:val="005E16C0"/>
    <w:rsid w:val="006049E5"/>
    <w:rsid w:val="006058DD"/>
    <w:rsid w:val="00626881"/>
    <w:rsid w:val="00634332"/>
    <w:rsid w:val="00657FDD"/>
    <w:rsid w:val="006B0AAF"/>
    <w:rsid w:val="006B1DEC"/>
    <w:rsid w:val="006B56D2"/>
    <w:rsid w:val="006E2AB0"/>
    <w:rsid w:val="006E4CD0"/>
    <w:rsid w:val="007007C6"/>
    <w:rsid w:val="00705B58"/>
    <w:rsid w:val="0071012E"/>
    <w:rsid w:val="00712104"/>
    <w:rsid w:val="0071540B"/>
    <w:rsid w:val="00725F55"/>
    <w:rsid w:val="007316F3"/>
    <w:rsid w:val="00743C8A"/>
    <w:rsid w:val="007846D2"/>
    <w:rsid w:val="00797A2D"/>
    <w:rsid w:val="007A03B1"/>
    <w:rsid w:val="007A1FF5"/>
    <w:rsid w:val="007A6844"/>
    <w:rsid w:val="007A758B"/>
    <w:rsid w:val="007C448E"/>
    <w:rsid w:val="007D0855"/>
    <w:rsid w:val="008116E2"/>
    <w:rsid w:val="00814BF9"/>
    <w:rsid w:val="00834B50"/>
    <w:rsid w:val="00845064"/>
    <w:rsid w:val="008464CB"/>
    <w:rsid w:val="00846CA6"/>
    <w:rsid w:val="00866E30"/>
    <w:rsid w:val="00895503"/>
    <w:rsid w:val="008B6DC9"/>
    <w:rsid w:val="00910F0C"/>
    <w:rsid w:val="009202CF"/>
    <w:rsid w:val="00970923"/>
    <w:rsid w:val="009721DE"/>
    <w:rsid w:val="0097285E"/>
    <w:rsid w:val="009738B0"/>
    <w:rsid w:val="009949F6"/>
    <w:rsid w:val="009B1359"/>
    <w:rsid w:val="009B45C4"/>
    <w:rsid w:val="009B461E"/>
    <w:rsid w:val="009E446A"/>
    <w:rsid w:val="009F69C5"/>
    <w:rsid w:val="00A118DA"/>
    <w:rsid w:val="00A444CE"/>
    <w:rsid w:val="00A50E38"/>
    <w:rsid w:val="00A706DE"/>
    <w:rsid w:val="00A90780"/>
    <w:rsid w:val="00A9153E"/>
    <w:rsid w:val="00A93FE9"/>
    <w:rsid w:val="00AB2032"/>
    <w:rsid w:val="00AC71A6"/>
    <w:rsid w:val="00AD0FEB"/>
    <w:rsid w:val="00AE3ECA"/>
    <w:rsid w:val="00AF6DAD"/>
    <w:rsid w:val="00B0649E"/>
    <w:rsid w:val="00B0708C"/>
    <w:rsid w:val="00B1527F"/>
    <w:rsid w:val="00B33F6C"/>
    <w:rsid w:val="00B47212"/>
    <w:rsid w:val="00B52AB9"/>
    <w:rsid w:val="00B53B27"/>
    <w:rsid w:val="00BC109C"/>
    <w:rsid w:val="00BD1674"/>
    <w:rsid w:val="00BD4470"/>
    <w:rsid w:val="00BF2560"/>
    <w:rsid w:val="00C00917"/>
    <w:rsid w:val="00C435E6"/>
    <w:rsid w:val="00C70A6D"/>
    <w:rsid w:val="00C90C42"/>
    <w:rsid w:val="00C91C37"/>
    <w:rsid w:val="00C95868"/>
    <w:rsid w:val="00CA25AA"/>
    <w:rsid w:val="00CC4534"/>
    <w:rsid w:val="00CE4E09"/>
    <w:rsid w:val="00D00F77"/>
    <w:rsid w:val="00D04865"/>
    <w:rsid w:val="00D13A15"/>
    <w:rsid w:val="00D30562"/>
    <w:rsid w:val="00D511D7"/>
    <w:rsid w:val="00D76CA4"/>
    <w:rsid w:val="00D80A03"/>
    <w:rsid w:val="00DA768F"/>
    <w:rsid w:val="00DC4AC9"/>
    <w:rsid w:val="00DE2266"/>
    <w:rsid w:val="00DE7323"/>
    <w:rsid w:val="00E056FE"/>
    <w:rsid w:val="00E33ED2"/>
    <w:rsid w:val="00E37C05"/>
    <w:rsid w:val="00E723BB"/>
    <w:rsid w:val="00EB203F"/>
    <w:rsid w:val="00EC1198"/>
    <w:rsid w:val="00ED375C"/>
    <w:rsid w:val="00EF66EC"/>
    <w:rsid w:val="00F11F74"/>
    <w:rsid w:val="00F26ED9"/>
    <w:rsid w:val="00F33F57"/>
    <w:rsid w:val="00F44679"/>
    <w:rsid w:val="00F532F4"/>
    <w:rsid w:val="00FB6D27"/>
    <w:rsid w:val="00FE47A5"/>
    <w:rsid w:val="00FF2BE3"/>
    <w:rsid w:val="00FF5F8C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B0"/>
    <w:rPr>
      <w:rFonts w:ascii="Tahoma" w:hAnsi="Tahoma" w:cs="Tahoma"/>
      <w:sz w:val="16"/>
      <w:szCs w:val="16"/>
    </w:rPr>
  </w:style>
  <w:style w:type="character" w:customStyle="1" w:styleId="nobr1">
    <w:name w:val="nobr1"/>
    <w:basedOn w:val="DefaultParagraphFont"/>
    <w:rsid w:val="007007C6"/>
  </w:style>
  <w:style w:type="paragraph" w:styleId="Header">
    <w:name w:val="header"/>
    <w:basedOn w:val="Normal"/>
    <w:link w:val="HeaderChar"/>
    <w:uiPriority w:val="99"/>
    <w:unhideWhenUsed/>
    <w:rsid w:val="00E7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BB"/>
  </w:style>
  <w:style w:type="paragraph" w:styleId="Footer">
    <w:name w:val="footer"/>
    <w:basedOn w:val="Normal"/>
    <w:link w:val="FooterChar"/>
    <w:uiPriority w:val="99"/>
    <w:unhideWhenUsed/>
    <w:rsid w:val="00E7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BB"/>
  </w:style>
  <w:style w:type="table" w:styleId="LightList-Accent4">
    <w:name w:val="Light List Accent 4"/>
    <w:basedOn w:val="TableNormal"/>
    <w:uiPriority w:val="61"/>
    <w:rsid w:val="00970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8FCF" w:themeColor="accent4"/>
        <w:left w:val="single" w:sz="8" w:space="0" w:color="688FCF" w:themeColor="accent4"/>
        <w:bottom w:val="single" w:sz="8" w:space="0" w:color="688FCF" w:themeColor="accent4"/>
        <w:right w:val="single" w:sz="8" w:space="0" w:color="688FC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8F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8FCF" w:themeColor="accent4"/>
          <w:left w:val="single" w:sz="8" w:space="0" w:color="688FCF" w:themeColor="accent4"/>
          <w:bottom w:val="single" w:sz="8" w:space="0" w:color="688FCF" w:themeColor="accent4"/>
          <w:right w:val="single" w:sz="8" w:space="0" w:color="688F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8FCF" w:themeColor="accent4"/>
          <w:left w:val="single" w:sz="8" w:space="0" w:color="688FCF" w:themeColor="accent4"/>
          <w:bottom w:val="single" w:sz="8" w:space="0" w:color="688FCF" w:themeColor="accent4"/>
          <w:right w:val="single" w:sz="8" w:space="0" w:color="688FCF" w:themeColor="accent4"/>
        </w:tcBorders>
      </w:tcPr>
    </w:tblStylePr>
    <w:tblStylePr w:type="band1Horz">
      <w:tblPr/>
      <w:tcPr>
        <w:tcBorders>
          <w:top w:val="single" w:sz="8" w:space="0" w:color="688FCF" w:themeColor="accent4"/>
          <w:left w:val="single" w:sz="8" w:space="0" w:color="688FCF" w:themeColor="accent4"/>
          <w:bottom w:val="single" w:sz="8" w:space="0" w:color="688FCF" w:themeColor="accent4"/>
          <w:right w:val="single" w:sz="8" w:space="0" w:color="688FCF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970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AADB" w:themeColor="accent4" w:themeTint="BF"/>
        <w:left w:val="single" w:sz="8" w:space="0" w:color="8DAADB" w:themeColor="accent4" w:themeTint="BF"/>
        <w:bottom w:val="single" w:sz="8" w:space="0" w:color="8DAADB" w:themeColor="accent4" w:themeTint="BF"/>
        <w:right w:val="single" w:sz="8" w:space="0" w:color="8DAADB" w:themeColor="accent4" w:themeTint="BF"/>
        <w:insideH w:val="single" w:sz="8" w:space="0" w:color="8DAAD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ADB" w:themeColor="accent4" w:themeTint="BF"/>
          <w:left w:val="single" w:sz="8" w:space="0" w:color="8DAADB" w:themeColor="accent4" w:themeTint="BF"/>
          <w:bottom w:val="single" w:sz="8" w:space="0" w:color="8DAADB" w:themeColor="accent4" w:themeTint="BF"/>
          <w:right w:val="single" w:sz="8" w:space="0" w:color="8DAADB" w:themeColor="accent4" w:themeTint="BF"/>
          <w:insideH w:val="nil"/>
          <w:insideV w:val="nil"/>
        </w:tcBorders>
        <w:shd w:val="clear" w:color="auto" w:fill="688F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ADB" w:themeColor="accent4" w:themeTint="BF"/>
          <w:left w:val="single" w:sz="8" w:space="0" w:color="8DAADB" w:themeColor="accent4" w:themeTint="BF"/>
          <w:bottom w:val="single" w:sz="8" w:space="0" w:color="8DAADB" w:themeColor="accent4" w:themeTint="BF"/>
          <w:right w:val="single" w:sz="8" w:space="0" w:color="8DAAD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3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3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970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3F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8FC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8FC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8FC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8FC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6E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6E7" w:themeFill="accent4" w:themeFillTint="7F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F1E37"/>
    <w:pPr>
      <w:spacing w:after="0" w:line="240" w:lineRule="auto"/>
    </w:pPr>
    <w:rPr>
      <w:rFonts w:ascii="Calibri" w:eastAsia="Times New Roman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1E37"/>
    <w:rPr>
      <w:rFonts w:ascii="Calibri" w:eastAsia="Times New Roman" w:hAnsi="Calibri" w:cs="Consolas"/>
      <w:szCs w:val="21"/>
    </w:rPr>
  </w:style>
  <w:style w:type="paragraph" w:customStyle="1" w:styleId="Default">
    <w:name w:val="Default"/>
    <w:rsid w:val="00FF5F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B0"/>
    <w:rPr>
      <w:rFonts w:ascii="Tahoma" w:hAnsi="Tahoma" w:cs="Tahoma"/>
      <w:sz w:val="16"/>
      <w:szCs w:val="16"/>
    </w:rPr>
  </w:style>
  <w:style w:type="character" w:customStyle="1" w:styleId="nobr1">
    <w:name w:val="nobr1"/>
    <w:basedOn w:val="DefaultParagraphFont"/>
    <w:rsid w:val="007007C6"/>
  </w:style>
  <w:style w:type="paragraph" w:styleId="Header">
    <w:name w:val="header"/>
    <w:basedOn w:val="Normal"/>
    <w:link w:val="HeaderChar"/>
    <w:uiPriority w:val="99"/>
    <w:unhideWhenUsed/>
    <w:rsid w:val="00E7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BB"/>
  </w:style>
  <w:style w:type="paragraph" w:styleId="Footer">
    <w:name w:val="footer"/>
    <w:basedOn w:val="Normal"/>
    <w:link w:val="FooterChar"/>
    <w:uiPriority w:val="99"/>
    <w:unhideWhenUsed/>
    <w:rsid w:val="00E7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BB"/>
  </w:style>
  <w:style w:type="table" w:styleId="LightList-Accent4">
    <w:name w:val="Light List Accent 4"/>
    <w:basedOn w:val="TableNormal"/>
    <w:uiPriority w:val="61"/>
    <w:rsid w:val="00970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8FCF" w:themeColor="accent4"/>
        <w:left w:val="single" w:sz="8" w:space="0" w:color="688FCF" w:themeColor="accent4"/>
        <w:bottom w:val="single" w:sz="8" w:space="0" w:color="688FCF" w:themeColor="accent4"/>
        <w:right w:val="single" w:sz="8" w:space="0" w:color="688FC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8F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8FCF" w:themeColor="accent4"/>
          <w:left w:val="single" w:sz="8" w:space="0" w:color="688FCF" w:themeColor="accent4"/>
          <w:bottom w:val="single" w:sz="8" w:space="0" w:color="688FCF" w:themeColor="accent4"/>
          <w:right w:val="single" w:sz="8" w:space="0" w:color="688F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8FCF" w:themeColor="accent4"/>
          <w:left w:val="single" w:sz="8" w:space="0" w:color="688FCF" w:themeColor="accent4"/>
          <w:bottom w:val="single" w:sz="8" w:space="0" w:color="688FCF" w:themeColor="accent4"/>
          <w:right w:val="single" w:sz="8" w:space="0" w:color="688FCF" w:themeColor="accent4"/>
        </w:tcBorders>
      </w:tcPr>
    </w:tblStylePr>
    <w:tblStylePr w:type="band1Horz">
      <w:tblPr/>
      <w:tcPr>
        <w:tcBorders>
          <w:top w:val="single" w:sz="8" w:space="0" w:color="688FCF" w:themeColor="accent4"/>
          <w:left w:val="single" w:sz="8" w:space="0" w:color="688FCF" w:themeColor="accent4"/>
          <w:bottom w:val="single" w:sz="8" w:space="0" w:color="688FCF" w:themeColor="accent4"/>
          <w:right w:val="single" w:sz="8" w:space="0" w:color="688FCF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970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AADB" w:themeColor="accent4" w:themeTint="BF"/>
        <w:left w:val="single" w:sz="8" w:space="0" w:color="8DAADB" w:themeColor="accent4" w:themeTint="BF"/>
        <w:bottom w:val="single" w:sz="8" w:space="0" w:color="8DAADB" w:themeColor="accent4" w:themeTint="BF"/>
        <w:right w:val="single" w:sz="8" w:space="0" w:color="8DAADB" w:themeColor="accent4" w:themeTint="BF"/>
        <w:insideH w:val="single" w:sz="8" w:space="0" w:color="8DAAD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ADB" w:themeColor="accent4" w:themeTint="BF"/>
          <w:left w:val="single" w:sz="8" w:space="0" w:color="8DAADB" w:themeColor="accent4" w:themeTint="BF"/>
          <w:bottom w:val="single" w:sz="8" w:space="0" w:color="8DAADB" w:themeColor="accent4" w:themeTint="BF"/>
          <w:right w:val="single" w:sz="8" w:space="0" w:color="8DAADB" w:themeColor="accent4" w:themeTint="BF"/>
          <w:insideH w:val="nil"/>
          <w:insideV w:val="nil"/>
        </w:tcBorders>
        <w:shd w:val="clear" w:color="auto" w:fill="688F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ADB" w:themeColor="accent4" w:themeTint="BF"/>
          <w:left w:val="single" w:sz="8" w:space="0" w:color="8DAADB" w:themeColor="accent4" w:themeTint="BF"/>
          <w:bottom w:val="single" w:sz="8" w:space="0" w:color="8DAADB" w:themeColor="accent4" w:themeTint="BF"/>
          <w:right w:val="single" w:sz="8" w:space="0" w:color="8DAAD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3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3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970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3F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8FC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8FC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8FC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8FC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6E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6E7" w:themeFill="accent4" w:themeFillTint="7F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F1E37"/>
    <w:pPr>
      <w:spacing w:after="0" w:line="240" w:lineRule="auto"/>
    </w:pPr>
    <w:rPr>
      <w:rFonts w:ascii="Calibri" w:eastAsia="Times New Roman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1E37"/>
    <w:rPr>
      <w:rFonts w:ascii="Calibri" w:eastAsia="Times New Roman" w:hAnsi="Calibri" w:cs="Consolas"/>
      <w:szCs w:val="21"/>
    </w:rPr>
  </w:style>
  <w:style w:type="paragraph" w:customStyle="1" w:styleId="Default">
    <w:name w:val="Default"/>
    <w:rsid w:val="00FF5F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57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2" w:space="0" w:color="CCCCCC"/>
                    <w:right w:val="single" w:sz="6" w:space="0" w:color="CCCCCC"/>
                  </w:divBdr>
                  <w:divsChild>
                    <w:div w:id="16404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Wells_Fargo_colors">
      <a:dk1>
        <a:sysClr val="windowText" lastClr="000000"/>
      </a:dk1>
      <a:lt1>
        <a:sysClr val="window" lastClr="FFFFFF"/>
      </a:lt1>
      <a:dk2>
        <a:srgbClr val="BB0826"/>
      </a:dk2>
      <a:lt2>
        <a:srgbClr val="739600"/>
      </a:lt2>
      <a:accent1>
        <a:srgbClr val="C2BF00"/>
      </a:accent1>
      <a:accent2>
        <a:srgbClr val="F28B13"/>
      </a:accent2>
      <a:accent3>
        <a:srgbClr val="F25316"/>
      </a:accent3>
      <a:accent4>
        <a:srgbClr val="688FCF"/>
      </a:accent4>
      <a:accent5>
        <a:srgbClr val="631D76"/>
      </a:accent5>
      <a:accent6>
        <a:srgbClr val="8F8F8F"/>
      </a:accent6>
      <a:hlink>
        <a:srgbClr val="44464A"/>
      </a:hlink>
      <a:folHlink>
        <a:srgbClr val="D7D3C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Riach, Eileen</dc:creator>
  <cp:lastModifiedBy>Riach, Eileen</cp:lastModifiedBy>
  <cp:revision>3</cp:revision>
  <dcterms:created xsi:type="dcterms:W3CDTF">2014-03-18T16:54:00Z</dcterms:created>
  <dcterms:modified xsi:type="dcterms:W3CDTF">2014-03-18T16:54:00Z</dcterms:modified>
</cp:coreProperties>
</file>