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MergedQtApp 人脸门禁功能优化工作汇报</w:t>
      </w:r>
    </w:p>
    <w:p>
      <w:pPr>
        <w:widowControl/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RK3568 4GB 加 32GB 设备  会话阶段总结  2026年9月16日</w:t>
      </w:r>
    </w:p>
    <w:p>
      <w:pPr>
        <w:widowControl/>
      </w:pPr>
      <w:r>
        <w:t>本阶段围绕设备存储配额、本地人员离线导入与通行、人脸管理界面、识别记录展示以及U盘导入协同进行了连续优化。当前已形成32GB与原8GB设备双档存储策略，建立本地人员独立导入和权限校验链路，并解决空规则误限制、楼层设备标识误匹配、U盘自动复制冲突以及管理页面透底等问题。最终管理后台退出后直接回到多媒体界面，不再恢复已停用的人脸整页主界面。</w:t>
      </w:r>
    </w:p>
    <w:p>
      <w:pPr>
        <w:pStyle w:val="Heading1"/>
        <w:keepNext/>
        <w:widowControl/>
      </w:pPr>
      <w:r>
        <w:t>一 工作内容概览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工作包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完成内容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存储策略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按设备文件系统容量自动区分8GB和32GB档位，并统一媒体 注册照 通行记录配额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通行展示与记录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新增通行照片姓名显示开关，精简识别记录字段并修正人员编号展示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本地人员导入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Excel导入改入本地人员库，支持重复判断 覆盖更新 人脸图片质量校验和结果汇总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本地离线通行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本地人员支持人脸 IC卡 二维码权限校验并直接下发RS485，不回执MQTT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权限规则修正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八项启用功能与实际配置分开判断，空值不再自动生成限制或造成误拒绝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U盘协同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通过一次性导入预约隔离人员导入与UI资源 视频自动复制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管理界面</w:t>
            </w:r>
          </w:p>
        </w:tc>
        <w:tc>
          <w:tcPr>
            <w:tcW w:type="dxa" w:w="65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完成竖屏自适应 开关动画 字号 按钮反馈 登录弹窗和不透明层级修复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已完成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二 存储配额策略</w:t>
      </w:r>
    </w:p>
    <w:p>
      <w:pPr>
        <w:widowControl/>
      </w:pPr>
      <w:r>
        <w:t>应用以数据所在文件系统总容量作为档位判断依据。文件系统总容量达到24 GiB时进入32GB档位，读取失败或低于阈值时保守沿用原8GB策略。容量限制以实际字节数为准，界面中的照片数量仅作为可理解的参考值。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3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设备档位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媒体文件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注册照片</w:t>
            </w:r>
          </w:p>
        </w:tc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通行抓拍与日志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预留空间</w:t>
            </w:r>
          </w:p>
        </w:tc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参考照片数</w:t>
            </w:r>
          </w:p>
        </w:tc>
      </w:tr>
      <w:tr>
        <w:trPr>
          <w:cantSplit/>
        </w:trPr>
        <w:tc>
          <w:tcPr>
            <w:tcW w:type="dxa" w:w="13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原8GB档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 GiB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 GiB</w:t>
            </w:r>
          </w:p>
        </w:tc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硬上限500 MiB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沿用原策略</w:t>
            </w:r>
          </w:p>
        </w:tc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约3000张</w:t>
            </w:r>
          </w:p>
        </w:tc>
      </w:tr>
      <w:tr>
        <w:trPr>
          <w:cantSplit/>
        </w:trPr>
        <w:tc>
          <w:tcPr>
            <w:tcW w:type="dxa" w:w="13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32GB档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 GiB</w:t>
            </w:r>
          </w:p>
        </w:tc>
        <w:tc>
          <w:tcPr>
            <w:tcW w:type="dxa" w:w="12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 GiB</w:t>
            </w:r>
          </w:p>
        </w:tc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硬上限2 GiB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约1 GiB</w:t>
            </w:r>
          </w:p>
        </w:tc>
        <w:tc>
          <w:tcPr>
            <w:tcW w:type="dxa" w:w="15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约52000张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t>32GB档注册照参考容量按单张300 KiB的保守值计算，15 GiB理论约可保存52428张，界面取整显示约52000张。</w:t>
      </w:r>
    </w:p>
    <w:p>
      <w:pPr>
        <w:pStyle w:val="ListBullet"/>
        <w:widowControl/>
      </w:pPr>
      <w:r>
        <w:t>注册数量不作为硬性上限；本地注册照和网络注册照按实际总字节数共享15 GiB配额。</w:t>
      </w:r>
    </w:p>
    <w:p>
      <w:pPr>
        <w:pStyle w:val="ListBullet"/>
        <w:widowControl/>
      </w:pPr>
      <w:r>
        <w:t>通行记录保留包含当天在内的15天；32GB档达到约1.6 GiB时开始软清理，2 GiB为不可突破的硬上限。</w:t>
      </w:r>
    </w:p>
    <w:p>
      <w:pPr>
        <w:pStyle w:val="ListBullet"/>
        <w:widowControl/>
      </w:pPr>
      <w:r>
        <w:t>媒体下载在写入前和临时文件提交前均执行配额校验；注册照片采用统一容量锁和原子写入。</w:t>
      </w:r>
    </w:p>
    <w:p>
      <w:pPr>
        <w:pStyle w:val="Heading1"/>
        <w:keepNext/>
        <w:widowControl/>
      </w:pPr>
      <w:r>
        <w:t>三 通行照片与识别记录展示</w:t>
      </w:r>
    </w:p>
    <w:p>
      <w:pPr>
        <w:widowControl/>
      </w:pPr>
      <w:r>
        <w:t>在人脸管理的设置和显示设置中增加通行照片显示开关。开关开启时沿用原逻辑显示通行人员照片和下方姓名；关闭时仅隐藏照片和姓名，摄像头区域及识别业务不受影响。配置写入INI并可立即生效。</w:t>
      </w:r>
    </w:p>
    <w:p>
      <w:pPr>
        <w:pStyle w:val="ListBullet"/>
        <w:widowControl/>
      </w:pPr>
      <w:r>
        <w:t>删除开关下方的冗长解释文字，只保留清晰的开关名称。</w:t>
      </w:r>
    </w:p>
    <w:p>
      <w:pPr>
        <w:pStyle w:val="ListBullet"/>
        <w:widowControl/>
      </w:pPr>
      <w:r>
        <w:t>移除人脸管理界面的同步队列入口及各菜单主标题下的长说明文字。</w:t>
      </w:r>
    </w:p>
    <w:p>
      <w:pPr>
        <w:pStyle w:val="ListBullet"/>
        <w:widowControl/>
      </w:pPr>
      <w:r>
        <w:t>识别记录取消抓拍路径 余弦值 活体值和设备SN展示，保留日志ID 结果 人员ID 姓名 失败原因 事件类型 方向和时间。</w:t>
      </w:r>
    </w:p>
    <w:p>
      <w:pPr>
        <w:pStyle w:val="ListBullet"/>
        <w:widowControl/>
      </w:pPr>
      <w:r>
        <w:t>人员ID按实际存储的人员编号展示：网络人员使用网络人员编号，本地人员使用本地数据库人员编号。</w:t>
      </w:r>
    </w:p>
    <w:p>
      <w:pPr>
        <w:pStyle w:val="Heading1"/>
        <w:keepNext/>
        <w:widowControl/>
      </w:pPr>
      <w:r>
        <w:t>四 本地人员Excel与人脸图片导入</w:t>
      </w:r>
    </w:p>
    <w:p>
      <w:pPr>
        <w:widowControl/>
      </w:pPr>
      <w:r>
        <w:t>人员表导入目标由网络人员表调整为本地人员表。本地人员表补充与导入表相匹配的扩展字段，并保留人脸文件列表成员；设备端手工录入流程仍只要求人员编号 姓名 人脸和特征，其他字段缺失时不强制填写。</w:t>
      </w:r>
    </w:p>
    <w:p>
      <w:pPr>
        <w:pStyle w:val="Heading2"/>
        <w:keepNext/>
        <w:widowControl/>
      </w:pPr>
      <w:r>
        <w:t>导入规则</w:t>
      </w:r>
    </w:p>
    <w:p>
      <w:pPr>
        <w:pStyle w:val="ListBullet"/>
        <w:widowControl/>
      </w:pPr>
      <w:r>
        <w:t>固定读取 /media/usb0/Ycest/person 目录；存在多个Excel文件时按文件名排序选择第一个非临时xls或xlsx文件。</w:t>
      </w:r>
    </w:p>
    <w:p>
      <w:pPr>
        <w:pStyle w:val="ListBullet"/>
        <w:widowControl/>
      </w:pPr>
      <w:r>
        <w:t>Excel先复制到 /tmp/facegate_person_import 下的一次性临时目录后再解析；img目录中的图片不复制，导入期间直接读取。</w:t>
      </w:r>
    </w:p>
    <w:p>
      <w:pPr>
        <w:pStyle w:val="ListBullet"/>
        <w:widowControl/>
      </w:pPr>
      <w:r>
        <w:t>人脸图片位于 Ycest/person/img，文件名采用手机号加序号，例如13688954645_1。导入人员完成且排除重复后，再按手机号关联人员并执行检测 质量判断 特征提取和入库。</w:t>
      </w:r>
    </w:p>
    <w:p>
      <w:pPr>
        <w:pStyle w:val="ListBullet"/>
        <w:widowControl/>
      </w:pPr>
      <w:r>
        <w:t>若手机号不能唯一匹配人员，或图片未通过质量检测，则不保存该图片，并在最终结果中列出对应人员及原因。</w:t>
      </w:r>
    </w:p>
    <w:p>
      <w:pPr>
        <w:pStyle w:val="ListBullet"/>
        <w:widowControl/>
      </w:pPr>
      <w:r>
        <w:t>同一账号 姓名 电话同时与网络人员一致时，跳过该人员并统一标记为重复人员；本地人员存在相同人员时以本次导入内容覆盖更新。</w:t>
      </w:r>
    </w:p>
    <w:p>
      <w:pPr>
        <w:pStyle w:val="ListBullet"/>
        <w:widowControl/>
      </w:pPr>
      <w:r>
        <w:t>导入完成后刷新人员列表 人脸图库和存储统计；导出仍携带人脸文件列表列，空值也保留列结构。</w:t>
      </w:r>
    </w:p>
    <w:p>
      <w:pPr>
        <w:pStyle w:val="Heading2"/>
        <w:keepNext/>
        <w:widowControl/>
      </w:pPr>
      <w:r>
        <w:t>导入交互</w:t>
      </w:r>
    </w:p>
    <w:p>
      <w:pPr>
        <w:pStyle w:val="ListBullet"/>
        <w:widowControl/>
      </w:pPr>
      <w:r>
        <w:t>确认弹窗仅保留 请先插入U盘再点击确定后进行导入。</w:t>
      </w:r>
    </w:p>
    <w:p>
      <w:pPr>
        <w:pStyle w:val="ListBullet"/>
        <w:widowControl/>
      </w:pPr>
      <w:r>
        <w:t>确认后显示居中的导入中动画 圆形加载指示和百分比进度条。</w:t>
      </w:r>
    </w:p>
    <w:p>
      <w:pPr>
        <w:pStyle w:val="ListBullet"/>
        <w:widowControl/>
      </w:pPr>
      <w:r>
        <w:t>完成弹窗突出新增 覆盖 人脸入库和失败结果，不再附加无关的小字说明。</w:t>
      </w:r>
    </w:p>
    <w:p>
      <w:pPr>
        <w:pStyle w:val="Heading1"/>
        <w:keepNext/>
        <w:widowControl/>
      </w:pPr>
      <w:r>
        <w:t>五 本地离线权限与RS485链路</w:t>
      </w:r>
    </w:p>
    <w:p>
      <w:pPr>
        <w:widowControl/>
      </w:pPr>
      <w:r>
        <w:t>本地人员与网络人员采用独立数据表和权限服务。本地人脸 IC卡和二维码在本地完成人员查找和权限判断，校验通过后按网络人员相同的楼层组帧规则直接下发RS485，但不生成MQTT业务回执，从而形成独立离线链路。</w:t>
      </w:r>
    </w:p>
    <w:p>
      <w:pPr>
        <w:pStyle w:val="Heading2"/>
        <w:keepNext/>
        <w:widowControl/>
      </w:pPr>
      <w:r>
        <w:t>八项启用功能映射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Excel启用功能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内部字段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启用条件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定时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启用功能包含定时且定时规则可解析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次数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count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启用功能包含次数且剩余次数格式有效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金额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amount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启用功能包含金额且余额 总额 单价配置有效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期限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duration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启用功能包含期限且起止时间完整有效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继电器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relay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启用功能包含继电器且继电器配置非空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控梯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controlElevator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启用功能包含控梯且控梯类型有效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远程呼梯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remoteCall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启用功能包含远程呼梯且呼梯配置非空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密码通行</w:t>
            </w:r>
          </w:p>
        </w:tc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cardPassword</w:t>
            </w:r>
          </w:p>
        </w:tc>
        <w:tc>
          <w:tcPr>
            <w:tcW w:type="dxa" w:w="57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识别开关但本阶段不以初始密码启用本地密码通行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空值与期限误判修复</w:t>
      </w:r>
    </w:p>
    <w:p>
      <w:pPr>
        <w:widowControl/>
      </w:pPr>
      <w:r>
        <w:t>启用功能和具体配置分开保存。表中出现某项名称只表示该功能开关被选择；如果对应内容为空或格式不完整，则视为尚未配置，不自行补默认值，也不参与本次通行限制。该规则同时覆盖期限 定时 次数 金额 继电器 控梯和远程呼梯。</w:t>
      </w:r>
    </w:p>
    <w:p>
      <w:pPr>
        <w:pStyle w:val="ListBullet"/>
        <w:widowControl/>
      </w:pPr>
      <w:r>
        <w:t>期限只有在起止时间均有效且开始时间不晚于结束时间时才启用；空期限不会再返回人员通行期限不允许。</w:t>
      </w:r>
    </w:p>
    <w:p>
      <w:pPr>
        <w:pStyle w:val="ListBullet"/>
        <w:widowControl/>
      </w:pPr>
      <w:r>
        <w:t>定时规则为空时不执行时段限制；次数或金额数据不完整时不执行扣减或余额拒绝。</w:t>
      </w:r>
    </w:p>
    <w:p>
      <w:pPr>
        <w:pStyle w:val="ListBullet"/>
        <w:widowControl/>
      </w:pPr>
      <w:r>
        <w:t>本地Excel中的设备字段不再与设备client_id匹配。本地权限按人员汇总其全部楼层；网络人员仍保留原设备ID匹配逻辑。</w:t>
      </w:r>
    </w:p>
    <w:p>
      <w:pPr>
        <w:pStyle w:val="ListBullet"/>
        <w:widowControl/>
      </w:pPr>
      <w:r>
        <w:t>本地人员密码通行本阶段暂缓，不把Excel初始密码误当作门禁通行密码。</w:t>
      </w:r>
    </w:p>
    <w:p>
      <w:pPr>
        <w:pStyle w:val="Heading1"/>
        <w:keepNext/>
        <w:widowControl/>
      </w:pPr>
      <w:r>
        <w:t>六 U盘服务协同方案</w:t>
      </w:r>
    </w:p>
    <w:p>
      <w:pPr>
        <w:widowControl/>
      </w:pPr>
      <w:r>
        <w:t>最终没有采用停止和重启udisk服务的方式，而是增加一次性人员导入预约机制。这样既保留udisk原有UI资源与视频更新能力，又能保证用户主动导入人员时，本次U盘插入不会误触发资源复制和程序重启。</w:t>
      </w:r>
    </w:p>
    <w:p>
      <w:pPr>
        <w:pStyle w:val="ListBullet"/>
        <w:widowControl/>
      </w:pPr>
      <w:r>
        <w:t>点击导入后先写入包含应用PID和唯一令牌的请求文件，再等待U盘插入。</w:t>
      </w:r>
    </w:p>
    <w:p>
      <w:pPr>
        <w:pStyle w:val="ListBullet"/>
        <w:widowControl/>
      </w:pPr>
      <w:r>
        <w:t>udisk检测到有效请求后发布相同令牌和实际挂载点，并把本次插入锁定为人员导入会话。</w:t>
      </w:r>
    </w:p>
    <w:p>
      <w:pPr>
        <w:pStyle w:val="ListBullet"/>
        <w:widowControl/>
      </w:pPr>
      <w:r>
        <w:t>人员导入会话整轮跳过UI资源和视频复制，即使人员导入完成，也要等本次U盘拔出后才恢复普通自动处理。</w:t>
      </w:r>
    </w:p>
    <w:p>
      <w:pPr>
        <w:pStyle w:val="ListBullet"/>
        <w:widowControl/>
      </w:pPr>
      <w:r>
        <w:t>Ycest/person目录明确排除在普通UI资源复制范围之外。</w:t>
      </w:r>
    </w:p>
    <w:p>
      <w:pPr>
        <w:pStyle w:val="ListBullet"/>
        <w:widowControl/>
      </w:pPr>
      <w:r>
        <w:t>应用不再依赖 /dev/sd* 枚举，也不自行卸载U盘；通过udisk提供的实际挂载点读取人员目录。</w:t>
      </w:r>
    </w:p>
    <w:p>
      <w:pPr>
        <w:pStyle w:val="Heading1"/>
        <w:keepNext/>
        <w:widowControl/>
      </w:pPr>
      <w:r>
        <w:t>七 人脸管理界面优化</w:t>
      </w:r>
    </w:p>
    <w:p>
      <w:pPr>
        <w:pStyle w:val="ListBullet"/>
        <w:widowControl/>
      </w:pPr>
      <w:r>
        <w:t>竖屏模式顶部导航按屏幕尺寸自适应排列，与返回按钮保留合理间距，避免过窄和拥挤。</w:t>
      </w:r>
    </w:p>
    <w:p>
      <w:pPr>
        <w:pStyle w:val="ListBullet"/>
        <w:widowControl/>
      </w:pPr>
      <w:r>
        <w:t>显示已删除 活体开关 音频开关 提示音开关和通行照片开关统一为滑动开关样式，并增加状态切换动画。</w:t>
      </w:r>
    </w:p>
    <w:p>
      <w:pPr>
        <w:pStyle w:val="ListBullet"/>
        <w:widowControl/>
      </w:pPr>
      <w:r>
        <w:t>提升辅助文字字号，压缩冗余说明，统一识别阈值 网络设置和音频设置的保存按钮文案为保存。</w:t>
      </w:r>
    </w:p>
    <w:p>
      <w:pPr>
        <w:pStyle w:val="ListBullet"/>
        <w:widowControl/>
      </w:pPr>
      <w:r>
        <w:t>保存和设置操作增加居中轻量提示，例如保存成功 设置失败；提示采用小尺寸安卓风格并带淡入淡出动画。</w:t>
      </w:r>
    </w:p>
    <w:p>
      <w:pPr>
        <w:pStyle w:val="ListBullet"/>
        <w:widowControl/>
      </w:pPr>
      <w:r>
        <w:t>管理员登录弹窗在Wayland下随宿主居中显示；账号密码已经配置时不再显示首次设置提示，默认聚焦密码输入框。</w:t>
      </w:r>
    </w:p>
    <w:p>
      <w:pPr>
        <w:pStyle w:val="Heading2"/>
        <w:keepNext/>
        <w:widowControl/>
      </w:pPr>
      <w:r>
        <w:t>管理页面透底与退出逻辑修复</w:t>
      </w:r>
    </w:p>
    <w:p>
      <w:pPr>
        <w:widowControl/>
      </w:pPr>
      <w:r>
        <w:t>登录弹窗和管理面板改为完整不透明背景，并移除会让整个页面透明的渐入效果。默认集成模式进入登录或管理后台时隐藏废弃的人脸整页主界面，避免摄像头主页从控件空隙或透明区域透出。</w:t>
      </w:r>
    </w:p>
    <w:p>
      <w:pPr>
        <w:widowControl/>
      </w:pPr>
      <w:r>
        <w:t>退出路径最终核对为 管理登录或管理后台结束后发送adminSessionFinished，由外层ModeController切回多媒体界面。已撤销错误加入的centralWidget show恢复动作，因此登录取消和后台退出均不会再显示或闪现人脸整页主界面。旧版整页模式通过编译开关单独保留原行为。</w:t>
      </w:r>
    </w:p>
    <w:p>
      <w:pPr>
        <w:pStyle w:val="Heading1"/>
        <w:keepNext/>
        <w:widowControl/>
      </w:pPr>
      <w:r>
        <w:t>八 问题定位与修复记录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U盘已挂载但等待超时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导入逻辑与udisk自动处理之间缺少明确会话所有权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增加请求令牌和ready握手，由udisk返回实际挂载点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空期限人员无法通行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只看启用开关，没有区分是否存在有效配置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增加Configured状态，空值和无效值不启用限制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提示当前设备没有可通行楼层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本地Excel设备字段被当成网络client_id匹配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本地按人员汇总全部楼层，网络逻辑保持设备匹配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登录和部分管理页透出人脸主页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半透明登录背景和整页透明动画叠加底层人脸主界面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使用不透明表面 移除整页透明动画并隐藏底层主页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退出管理后恢复人脸主页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修复透底时误加入了主页show逻辑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删除恢复动作，按原状态机直接返回多媒体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九 验证情况与边界</w:t>
      </w:r>
    </w:p>
    <w:p>
      <w:pPr>
        <w:pStyle w:val="ListBullet"/>
        <w:widowControl/>
      </w:pPr>
      <w:r>
        <w:t>已对关键分支进行代码级检查，包括容量档位 配额写入 Excel选取 临时复制 图片关联 规则Configured状态 本地楼层查询 U盘预约和管理退出状态流。</w:t>
      </w:r>
    </w:p>
    <w:p>
      <w:pPr>
        <w:pStyle w:val="ListBullet"/>
        <w:widowControl/>
      </w:pPr>
      <w:r>
        <w:t>已根据目标板日志复核并修正期限拒绝 楼层为空 U盘等待超时和页面透底问题。</w:t>
      </w:r>
    </w:p>
    <w:p>
      <w:pPr>
        <w:pStyle w:val="ListBullet"/>
        <w:widowControl/>
      </w:pPr>
      <w:r>
        <w:t>当前开发环境未配置该RK3568项目的Qt交叉编译工具链，因此本阶段以静态检查为主；最终交付前仍需在目标板完成全量编译和硬件联调。</w:t>
      </w:r>
    </w:p>
    <w:p>
      <w:pPr>
        <w:pStyle w:val="ListBullet"/>
        <w:widowControl/>
      </w:pPr>
      <w:r>
        <w:t>建议目标板重点回归32GB与8GB档位识别 多Excel首文件选择 大批量人脸图片导入 IC卡与二维码离线通行 空规则人员通行 U盘同时含资源和person目录 管理登录取消及退出返回多媒体。</w:t>
      </w:r>
    </w:p>
    <w:p>
      <w:pPr>
        <w:pStyle w:val="Heading1"/>
        <w:keepNext/>
        <w:widowControl/>
      </w:pPr>
      <w:r>
        <w:t>十 本会话修改文件清单</w:t>
      </w:r>
    </w:p>
    <w:p>
      <w:pPr>
        <w:widowControl/>
      </w:pPr>
      <w:r>
        <w:t>以下按工作包归类列出本会话涉及的代码 配置 脚本和说明文件。一个文件可能同时服务多个工作包，在最主要的归属下列出。</w:t>
      </w:r>
    </w:p>
    <w:p>
      <w:pPr>
        <w:keepNext/>
        <w:widowControl/>
        <w:spacing w:before="60" w:after="40"/>
      </w:pPr>
      <w:r>
        <w:rPr>
          <w:rFonts w:ascii="Microsoft YaHei" w:hAnsi="Microsoft YaHei" w:eastAsia="Microsoft YaHei"/>
          <w:b/>
          <w:color w:val="000000"/>
          <w:sz w:val="22"/>
        </w:rPr>
        <w:t>存储策略</w:t>
      </w:r>
    </w:p>
    <w:p>
      <w:pPr>
        <w:pStyle w:val="ListBullet"/>
        <w:widowControl/>
        <w:spacing w:after="20"/>
      </w:pPr>
      <w:r>
        <w:t>common/storage_policy.h</w:t>
      </w:r>
    </w:p>
    <w:p>
      <w:pPr>
        <w:pStyle w:val="ListBullet"/>
        <w:widowControl/>
        <w:spacing w:after="20"/>
      </w:pPr>
      <w:r>
        <w:t>common/storage_policy.cpp</w:t>
      </w:r>
    </w:p>
    <w:p>
      <w:pPr>
        <w:pStyle w:val="ListBullet"/>
        <w:widowControl/>
        <w:spacing w:after="20"/>
      </w:pPr>
      <w:r>
        <w:t>components/settings/ftppage.cpp</w:t>
      </w:r>
    </w:p>
    <w:p>
      <w:pPr>
        <w:pStyle w:val="ListBullet"/>
        <w:widowControl/>
        <w:spacing w:after="20"/>
      </w:pPr>
      <w:r>
        <w:t>docs/storage_quota_policy_20260825.md</w:t>
      </w:r>
    </w:p>
    <w:p>
      <w:pPr>
        <w:keepNext/>
        <w:widowControl/>
        <w:spacing w:before="60" w:after="40"/>
      </w:pPr>
      <w:r>
        <w:rPr>
          <w:rFonts w:ascii="Microsoft YaHei" w:hAnsi="Microsoft YaHei" w:eastAsia="Microsoft YaHei"/>
          <w:b/>
          <w:color w:val="000000"/>
          <w:sz w:val="22"/>
        </w:rPr>
        <w:t>本地人员数据和离线通行</w:t>
      </w:r>
    </w:p>
    <w:p>
      <w:pPr>
        <w:pStyle w:val="ListBullet"/>
        <w:widowControl/>
        <w:spacing w:after="20"/>
      </w:pPr>
      <w:r>
        <w:t>common/sql/local_personnel_store.h</w:t>
      </w:r>
    </w:p>
    <w:p>
      <w:pPr>
        <w:pStyle w:val="ListBullet"/>
        <w:widowControl/>
        <w:spacing w:after="20"/>
      </w:pPr>
      <w:r>
        <w:t>common/sql/local_personnel_store.cpp</w:t>
      </w:r>
    </w:p>
    <w:p>
      <w:pPr>
        <w:pStyle w:val="ListBullet"/>
        <w:widowControl/>
        <w:spacing w:after="20"/>
      </w:pPr>
      <w:r>
        <w:t>ic_board/local_access_service.h</w:t>
      </w:r>
    </w:p>
    <w:p>
      <w:pPr>
        <w:pStyle w:val="ListBullet"/>
        <w:widowControl/>
        <w:spacing w:after="20"/>
      </w:pPr>
      <w:r>
        <w:t>ic_board/local_access_service.cpp</w:t>
      </w:r>
    </w:p>
    <w:p>
      <w:pPr>
        <w:pStyle w:val="ListBullet"/>
        <w:widowControl/>
        <w:spacing w:after="20"/>
      </w:pPr>
      <w:r>
        <w:t>ic_board/network_access_service.h</w:t>
      </w:r>
    </w:p>
    <w:p>
      <w:pPr>
        <w:pStyle w:val="ListBullet"/>
        <w:widowControl/>
        <w:spacing w:after="20"/>
      </w:pPr>
      <w:r>
        <w:t>ic_board/ic_event_bridge.h</w:t>
      </w:r>
    </w:p>
    <w:p>
      <w:pPr>
        <w:pStyle w:val="ListBullet"/>
        <w:widowControl/>
        <w:spacing w:after="20"/>
      </w:pPr>
      <w:r>
        <w:t>ic_board/ic_event_bridge.cpp</w:t>
      </w:r>
    </w:p>
    <w:p>
      <w:pPr>
        <w:pStyle w:val="ListBullet"/>
        <w:widowControl/>
        <w:spacing w:after="20"/>
      </w:pPr>
      <w:r>
        <w:t>ic_board/ic_worker.h</w:t>
      </w:r>
    </w:p>
    <w:p>
      <w:pPr>
        <w:pStyle w:val="ListBullet"/>
        <w:widowControl/>
        <w:spacing w:after="20"/>
      </w:pPr>
      <w:r>
        <w:t>ic_board/ic_worker.cpp</w:t>
      </w:r>
    </w:p>
    <w:p>
      <w:pPr>
        <w:pStyle w:val="ListBullet"/>
        <w:widowControl/>
        <w:spacing w:after="20"/>
      </w:pPr>
      <w:r>
        <w:t>modules/facegate/FaceGateQt/core/FaceInferenceWorker.h</w:t>
      </w:r>
    </w:p>
    <w:p>
      <w:pPr>
        <w:pStyle w:val="ListBullet"/>
        <w:widowControl/>
        <w:spacing w:after="20"/>
      </w:pPr>
      <w:r>
        <w:t>modules/facegate/FaceGateQt/core/FaceInferenceWorker.cpp</w:t>
      </w:r>
    </w:p>
    <w:p>
      <w:pPr>
        <w:keepNext/>
        <w:widowControl/>
        <w:spacing w:before="60" w:after="40"/>
      </w:pPr>
      <w:r>
        <w:rPr>
          <w:rFonts w:ascii="Microsoft YaHei" w:hAnsi="Microsoft YaHei" w:eastAsia="Microsoft YaHei"/>
          <w:b/>
          <w:color w:val="000000"/>
          <w:sz w:val="22"/>
        </w:rPr>
        <w:t>Excel导入导出和U盘协同</w:t>
      </w:r>
    </w:p>
    <w:p>
      <w:pPr>
        <w:pStyle w:val="ListBullet"/>
        <w:widowControl/>
        <w:spacing w:after="20"/>
      </w:pPr>
      <w:r>
        <w:t>modules/facegate/FaceGateQt/import/PersonXlsxParser.cpp</w:t>
      </w:r>
    </w:p>
    <w:p>
      <w:pPr>
        <w:pStyle w:val="ListBullet"/>
        <w:widowControl/>
        <w:spacing w:after="20"/>
      </w:pPr>
      <w:r>
        <w:t>modules/facegate/FaceGateQt/import/PersonXlsxExporter.cpp</w:t>
      </w:r>
    </w:p>
    <w:p>
      <w:pPr>
        <w:pStyle w:val="ListBullet"/>
        <w:widowControl/>
        <w:spacing w:after="20"/>
      </w:pPr>
      <w:r>
        <w:t>modules/facegate/FaceGateQt/import/PersonImportWorker.h</w:t>
      </w:r>
    </w:p>
    <w:p>
      <w:pPr>
        <w:pStyle w:val="ListBullet"/>
        <w:widowControl/>
        <w:spacing w:after="20"/>
      </w:pPr>
      <w:r>
        <w:t>modules/facegate/FaceGateQt/import/PersonImportWorker.cpp</w:t>
      </w:r>
    </w:p>
    <w:p>
      <w:pPr>
        <w:pStyle w:val="ListBullet"/>
        <w:widowControl/>
        <w:spacing w:after="20"/>
      </w:pPr>
      <w:r>
        <w:t>modules/facegate/FaceGateQt/import/PersonExportWorker.h</w:t>
      </w:r>
    </w:p>
    <w:p>
      <w:pPr>
        <w:pStyle w:val="ListBullet"/>
        <w:widowControl/>
        <w:spacing w:after="20"/>
      </w:pPr>
      <w:r>
        <w:t>modules/facegate/FaceGateQt/import/UsbPersonImportSource.h</w:t>
      </w:r>
    </w:p>
    <w:p>
      <w:pPr>
        <w:pStyle w:val="ListBullet"/>
        <w:widowControl/>
        <w:spacing w:after="20"/>
      </w:pPr>
      <w:r>
        <w:t>modules/facegate/FaceGateQt/import/UsbPersonImportSource.cpp</w:t>
      </w:r>
    </w:p>
    <w:p>
      <w:pPr>
        <w:pStyle w:val="ListBullet"/>
        <w:widowControl/>
        <w:spacing w:after="20"/>
      </w:pPr>
      <w:r>
        <w:t>modules/facegate/FaceGateQt/import/UsbPersonExportTarget.h</w:t>
      </w:r>
    </w:p>
    <w:p>
      <w:pPr>
        <w:pStyle w:val="ListBullet"/>
        <w:widowControl/>
        <w:spacing w:after="20"/>
      </w:pPr>
      <w:r>
        <w:t>modules/facegate/FaceGateQt/import/UsbPersonExportTarget.cpp</w:t>
      </w:r>
    </w:p>
    <w:p>
      <w:pPr>
        <w:pStyle w:val="ListBullet"/>
        <w:widowControl/>
        <w:spacing w:after="20"/>
      </w:pPr>
      <w:r>
        <w:t>components/udisk_status/udisk_status.cpp</w:t>
      </w:r>
    </w:p>
    <w:p>
      <w:pPr>
        <w:pStyle w:val="ListBullet"/>
        <w:widowControl/>
        <w:spacing w:after="20"/>
      </w:pPr>
      <w:r>
        <w:t>deploy/rk3566/udisk_watcher.sh</w:t>
      </w:r>
    </w:p>
    <w:p>
      <w:pPr>
        <w:keepNext/>
        <w:widowControl/>
        <w:spacing w:before="60" w:after="40"/>
      </w:pPr>
      <w:r>
        <w:rPr>
          <w:rFonts w:ascii="Microsoft YaHei" w:hAnsi="Microsoft YaHei" w:eastAsia="Microsoft YaHei"/>
          <w:b/>
          <w:color w:val="000000"/>
          <w:sz w:val="22"/>
        </w:rPr>
        <w:t>人脸管理和登录界面</w:t>
      </w:r>
    </w:p>
    <w:p>
      <w:pPr>
        <w:pStyle w:val="ListBullet"/>
        <w:widowControl/>
        <w:spacing w:after="20"/>
      </w:pPr>
      <w:r>
        <w:t>modules/facegate/FaceGateQt/ui/AdminPanel.h</w:t>
      </w:r>
    </w:p>
    <w:p>
      <w:pPr>
        <w:pStyle w:val="ListBullet"/>
        <w:widowControl/>
        <w:spacing w:after="20"/>
      </w:pPr>
      <w:r>
        <w:t>modules/facegate/FaceGateQt/ui/AdminPanel.cpp</w:t>
      </w:r>
    </w:p>
    <w:p>
      <w:pPr>
        <w:pStyle w:val="ListBullet"/>
        <w:widowControl/>
        <w:spacing w:after="20"/>
      </w:pPr>
      <w:r>
        <w:t>modules/facegate/FaceGateQt/ui/AdminLoginDialog.h</w:t>
      </w:r>
    </w:p>
    <w:p>
      <w:pPr>
        <w:pStyle w:val="ListBullet"/>
        <w:widowControl/>
        <w:spacing w:after="20"/>
      </w:pPr>
      <w:r>
        <w:t>modules/facegate/FaceGateQt/ui/AdminLoginDialog.cpp</w:t>
      </w:r>
    </w:p>
    <w:p>
      <w:pPr>
        <w:pStyle w:val="ListBullet"/>
        <w:widowControl/>
        <w:spacing w:after="20"/>
      </w:pPr>
      <w:r>
        <w:t>modules/facegate/FaceGateQt/ui/MainWindow.h</w:t>
      </w:r>
    </w:p>
    <w:p>
      <w:pPr>
        <w:pStyle w:val="ListBullet"/>
        <w:widowControl/>
        <w:spacing w:after="20"/>
      </w:pPr>
      <w:r>
        <w:t>modules/facegate/FaceGateQt/ui/MainWindow.cpp</w:t>
      </w:r>
    </w:p>
    <w:p>
      <w:pPr>
        <w:pStyle w:val="ListBullet"/>
        <w:widowControl/>
        <w:spacing w:after="20"/>
      </w:pPr>
      <w:r>
        <w:t>modules/facegate/FaceGateQt/resources/qss/admin_panel.qss</w:t>
      </w:r>
    </w:p>
    <w:p>
      <w:pPr>
        <w:keepNext/>
        <w:widowControl/>
        <w:spacing w:before="60" w:after="40"/>
      </w:pPr>
      <w:r>
        <w:rPr>
          <w:rFonts w:ascii="Microsoft YaHei" w:hAnsi="Microsoft YaHei" w:eastAsia="Microsoft YaHei"/>
          <w:b/>
          <w:color w:val="000000"/>
          <w:sz w:val="22"/>
        </w:rPr>
        <w:t>配置与工程文件</w:t>
      </w:r>
    </w:p>
    <w:p>
      <w:pPr>
        <w:pStyle w:val="ListBullet"/>
        <w:widowControl/>
        <w:spacing w:after="20"/>
      </w:pPr>
      <w:r>
        <w:t>modules/facegate/FaceGateQt/config/AppConfig.h</w:t>
      </w:r>
    </w:p>
    <w:p>
      <w:pPr>
        <w:pStyle w:val="ListBullet"/>
        <w:widowControl/>
        <w:spacing w:after="20"/>
      </w:pPr>
      <w:r>
        <w:t>modules/facegate/FaceGateQt/config/AppConfig.cpp</w:t>
      </w:r>
    </w:p>
    <w:p>
      <w:pPr>
        <w:pStyle w:val="ListBullet"/>
        <w:widowControl/>
        <w:spacing w:after="20"/>
      </w:pPr>
      <w:r>
        <w:t>facegate.ini</w:t>
      </w:r>
    </w:p>
    <w:p>
      <w:pPr>
        <w:pStyle w:val="ListBullet"/>
        <w:widowControl/>
        <w:spacing w:after="20"/>
      </w:pPr>
      <w:r>
        <w:t>modules/facegate/FaceGateQt/config/facegate.ini</w:t>
      </w:r>
    </w:p>
    <w:p>
      <w:pPr>
        <w:pStyle w:val="ListBullet"/>
        <w:widowControl/>
        <w:spacing w:after="20"/>
      </w:pPr>
      <w:r>
        <w:t>modules/facegate/FaceGateQt/config/facegate.example.ini</w:t>
      </w:r>
    </w:p>
    <w:p>
      <w:pPr>
        <w:pStyle w:val="ListBullet"/>
        <w:widowControl/>
        <w:spacing w:after="20"/>
      </w:pPr>
      <w:r>
        <w:t>modules/facegate/FaceGateQt/FaceGateQt.pro</w:t>
      </w:r>
    </w:p>
    <w:p>
      <w:pPr>
        <w:pStyle w:val="ListBullet"/>
        <w:widowControl/>
        <w:spacing w:after="20"/>
      </w:pPr>
      <w:r>
        <w:t>qt_ycest.pro</w:t>
      </w:r>
    </w:p>
    <w:p>
      <w:pPr>
        <w:pStyle w:val="Heading1"/>
        <w:keepNext/>
        <w:widowControl/>
      </w:pPr>
      <w:r>
        <w:t>十一 后续建议</w:t>
      </w:r>
    </w:p>
    <w:p>
      <w:pPr>
        <w:widowControl/>
      </w:pPr>
      <w:r>
        <w:t>下一阶段建议先完成目标板全量编译和上述关键场景回归，再考虑Qt Quick或OpenGL动画界面的专项改造。车机风格动画方案本会话只进行了技术分析，没有纳入本次代码实施范围。</w:t>
      </w:r>
    </w:p>
    <w:sectPr w:rsidR="00FC693F" w:rsidRPr="0006063C" w:rsidSect="00034616"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 w:after="6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MergedQtApp 人脸门禁功能优化工作汇报</dc:title>
  <dc:subject>本会话完成任务总结</dc:subject>
  <dc:creator>项目组</dc:creator>
  <cp:keywords>RK3568, 人脸门禁, 本地人员导入, U盘, 存储配额, Qt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