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9242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0E7EE776" wp14:editId="35825A3B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DC366" w14:textId="77777777" w:rsidR="00950E84" w:rsidRPr="00052E36" w:rsidRDefault="00950E84" w:rsidP="00B67ACE">
      <w:pPr>
        <w:pStyle w:val="BodyText"/>
      </w:pPr>
    </w:p>
    <w:p w14:paraId="443DD63A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1350556D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0BE9EEB9" w14:textId="77777777" w:rsidR="00B67ACE" w:rsidRDefault="00B67ACE" w:rsidP="00B67ACE">
      <w:pPr>
        <w:pStyle w:val="BodyText"/>
      </w:pPr>
    </w:p>
    <w:p w14:paraId="2877E48F" w14:textId="77777777" w:rsidR="001B57BC" w:rsidRPr="00E77C44" w:rsidRDefault="001B57BC" w:rsidP="00B67ACE">
      <w:pPr>
        <w:pStyle w:val="BodyText"/>
      </w:pPr>
    </w:p>
    <w:p w14:paraId="1A880204" w14:textId="77777777" w:rsidR="00BE17B2" w:rsidRPr="00D75286" w:rsidRDefault="00BE17B2" w:rsidP="00BE17B2">
      <w:pPr>
        <w:pStyle w:val="Eyebrow"/>
      </w:pPr>
      <w:r>
        <w:t>Technical Documentation</w:t>
      </w:r>
    </w:p>
    <w:p w14:paraId="6EC2128A" w14:textId="77777777" w:rsidR="00BE17B2" w:rsidRPr="00D75286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</w:rPr>
      </w:pPr>
      <w:bookmarkStart w:id="0" w:name="_Toc391493948"/>
      <w:r>
        <w:rPr>
          <w:noProof/>
          <w:color w:val="0067C5"/>
          <w:kern w:val="28"/>
          <w:sz w:val="40"/>
        </w:rPr>
        <w:t>Svm Dr - Create New Svm Dr</w:t>
      </w:r>
      <w:bookmarkEnd w:id="0"/>
    </w:p>
    <w:p w14:paraId="264E3617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r>
        <w:rPr>
          <w:lang w:val="en-GB"/>
        </w:rPr>
        <w:t>nov 2018</w:t>
      </w:r>
    </w:p>
    <w:p w14:paraId="217DD0DF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72C2BD8C" w14:textId="77777777" w:rsidR="00BE17B2" w:rsidRDefault="00BE17B2" w:rsidP="00BE17B2">
      <w:pPr>
        <w:pStyle w:val="Authordate"/>
        <w:spacing w:line="240" w:lineRule="exact"/>
        <w:rPr>
          <w:i/>
        </w:rPr>
      </w:pPr>
      <w:bookmarkStart w:id="1" w:name="_Toc391493950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>
        <w:rPr>
          <w:i/>
          <w:noProof/>
        </w:rPr>
        <w:t>3</w:t>
      </w:r>
      <w:bookmarkEnd w:id="1"/>
      <w:r>
        <w:rPr>
          <w:i/>
        </w:rPr>
        <w:fldChar w:fldCharType="end"/>
      </w:r>
      <w:r>
        <w:rPr>
          <w:i/>
        </w:rPr>
        <w:t xml:space="preserve"> </w:t>
      </w:r>
    </w:p>
    <w:p w14:paraId="33EE8917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2" w:name="_Toc391493951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2"/>
      <w:r>
        <w:rPr>
          <w:i/>
        </w:rPr>
        <w:t>1.0.1</w:t>
      </w:r>
    </w:p>
    <w:p w14:paraId="610DFA1D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704124AA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0E2890D0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3" w:name="_Hlt44566571"/>
      <w:bookmarkStart w:id="4" w:name="_Toc492043870"/>
      <w:bookmarkStart w:id="5" w:name="OLE_LINK1"/>
      <w:bookmarkEnd w:id="3"/>
      <w:r>
        <w:rPr>
          <w:rFonts w:cstheme="minorHAnsi"/>
        </w:rPr>
        <w:br w:type="page"/>
      </w:r>
    </w:p>
    <w:p w14:paraId="45482333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r w:rsidRPr="00E77C44">
        <w:rPr>
          <w:rFonts w:cstheme="minorHAnsi"/>
        </w:rPr>
        <w:lastRenderedPageBreak/>
        <w:t>Document Information</w:t>
      </w:r>
      <w:bookmarkEnd w:id="4"/>
    </w:p>
    <w:p w14:paraId="7B7B38BC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6" w:name="_Toc492043871"/>
      <w:r w:rsidRPr="00E77C44">
        <w:rPr>
          <w:rFonts w:cstheme="minorHAnsi"/>
        </w:rPr>
        <w:t>Revision History</w:t>
      </w:r>
      <w:bookmarkEnd w:id="6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21571C9E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13C830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97A76D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A2DAF6E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5AFF7E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0AC7781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74BB256F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5F1A275" w14:textId="6F7114D3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</w:t>
            </w:r>
            <w:r w:rsidR="00794361">
              <w:rPr>
                <w:rFonts w:asciiTheme="minorHAnsi" w:hAnsiTheme="minorHAnsi" w:cstheme="minorHAnsi"/>
                <w:sz w:val="18"/>
              </w:rPr>
              <w:t>8</w:t>
            </w:r>
            <w:r>
              <w:rPr>
                <w:rFonts w:asciiTheme="minorHAnsi" w:hAnsiTheme="minorHAnsi" w:cstheme="minorHAnsi"/>
                <w:sz w:val="18"/>
              </w:rPr>
              <w:t>-</w:t>
            </w:r>
            <w:r w:rsidR="00794361">
              <w:rPr>
                <w:rFonts w:asciiTheme="minorHAnsi" w:hAnsiTheme="minorHAnsi" w:cstheme="minorHAnsi"/>
                <w:sz w:val="18"/>
              </w:rPr>
              <w:t>11</w:t>
            </w:r>
            <w:r>
              <w:rPr>
                <w:rFonts w:asciiTheme="minorHAnsi" w:hAnsiTheme="minorHAnsi" w:cstheme="minorHAnsi"/>
                <w:sz w:val="18"/>
              </w:rPr>
              <w:t>-</w:t>
            </w:r>
            <w:r w:rsidR="00794361">
              <w:rPr>
                <w:rFonts w:asciiTheme="minorHAnsi" w:hAnsiTheme="minorHAnsi" w:cstheme="minorHAnsi"/>
                <w:sz w:val="18"/>
              </w:rPr>
              <w:t>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1F219CD" w14:textId="7FA3517A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  <w:r w:rsidR="00794361">
              <w:rPr>
                <w:rFonts w:asciiTheme="minorHAnsi" w:hAnsiTheme="minorHAnsi" w:cstheme="minorHAnsi"/>
                <w:sz w:val="18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FD4A94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C6E366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B28BBD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03AF229F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A97F69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2DC65B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C36C2F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BE190D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177F24B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7668B1CD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0CFE77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72EF481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0ADC3C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053C2A9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7039D9E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EAA020C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97A0BA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A1E854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0FEAB1D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39B4FA1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6EEB29A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B1D757A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7" w:name="_Toc492043872"/>
      <w:r w:rsidRPr="00E77C44">
        <w:rPr>
          <w:rFonts w:cstheme="minorHAnsi"/>
        </w:rPr>
        <w:t>Document Control</w:t>
      </w:r>
      <w:bookmarkEnd w:id="7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47E8520E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430B178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B153504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79FADE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03E01DE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6EF8B218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6A0B7D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EB92A9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0A2BB6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DFBC67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346E362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5D522D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CA6E0D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590C2AD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2D43D7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6F2CAC8A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18E08A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0EFF27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036D29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238FC1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1FE427B7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8" w:name="_Toc492043873"/>
      <w:bookmarkEnd w:id="5"/>
      <w:r w:rsidRPr="00E77C44">
        <w:rPr>
          <w:rFonts w:cstheme="minorHAnsi"/>
        </w:rPr>
        <w:t>Approval</w:t>
      </w:r>
      <w:bookmarkEnd w:id="8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292728E6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ED45B7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3C4CE3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028482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46606F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46731EE5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E58C53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E938C2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D74899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ACF1C0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2B5971C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97515A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2BCD699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257796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0D83D5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6671C1F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B72E49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1B933E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908E8E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5DACFE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760BF00C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CAEC27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6767ADC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F82242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EB2A26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304FEE2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1B30E20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9" w:name="_Toc492043874"/>
      <w:r w:rsidRPr="00E77C44">
        <w:rPr>
          <w:rFonts w:cstheme="minorHAnsi"/>
        </w:rPr>
        <w:lastRenderedPageBreak/>
        <w:t>Table of Contents</w:t>
      </w:r>
      <w:bookmarkEnd w:id="9"/>
    </w:p>
    <w:p w14:paraId="3D31BC4A" w14:textId="77777777" w:rsidR="001B57BC" w:rsidRDefault="001B57BC" w:rsidP="001B57BC">
      <w:pPr>
        <w:pStyle w:val="TOC1"/>
        <w:rPr>
          <w:rFonts w:asciiTheme="minorHAnsi" w:eastAsiaTheme="minorEastAsia" w:hAnsiTheme="minorHAnsi" w:cstheme="minorBidi"/>
          <w:b w:val="0"/>
          <w:sz w:val="22"/>
          <w:lang w:eastAsia="en-GB"/>
        </w:rPr>
      </w:pPr>
      <w:r w:rsidRPr="007F1956">
        <w:rPr>
          <w:rFonts w:asciiTheme="minorHAnsi" w:hAnsiTheme="minorHAnsi" w:cstheme="minorHAnsi"/>
          <w:sz w:val="18"/>
          <w:szCs w:val="18"/>
        </w:rPr>
        <w:fldChar w:fldCharType="begin"/>
      </w:r>
      <w:r w:rsidRPr="007F1956">
        <w:rPr>
          <w:rFonts w:asciiTheme="minorHAnsi" w:hAnsiTheme="minorHAnsi" w:cstheme="minorHAnsi"/>
          <w:sz w:val="18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sz w:val="18"/>
          <w:szCs w:val="18"/>
        </w:rPr>
        <w:fldChar w:fldCharType="separate"/>
      </w:r>
      <w:r w:rsidRPr="00CE2CD1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_Toc492043870 \h </w:instrText>
      </w:r>
      <w:r>
        <w:fldChar w:fldCharType="separate"/>
      </w:r>
      <w:r>
        <w:t>2</w:t>
      </w:r>
      <w:r>
        <w:fldChar w:fldCharType="end"/>
      </w:r>
    </w:p>
    <w:p w14:paraId="3811347B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_Toc492043871 \h </w:instrText>
      </w:r>
      <w:r>
        <w:fldChar w:fldCharType="separate"/>
      </w:r>
      <w:r>
        <w:t>2</w:t>
      </w:r>
      <w:r>
        <w:fldChar w:fldCharType="end"/>
      </w:r>
    </w:p>
    <w:p w14:paraId="0717251C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_Toc492043872 \h </w:instrText>
      </w:r>
      <w:r>
        <w:fldChar w:fldCharType="separate"/>
      </w:r>
      <w:r>
        <w:t>2</w:t>
      </w:r>
      <w:r>
        <w:fldChar w:fldCharType="end"/>
      </w:r>
    </w:p>
    <w:p w14:paraId="1DF74F28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_Toc492043873 \h </w:instrText>
      </w:r>
      <w:r>
        <w:fldChar w:fldCharType="separate"/>
      </w:r>
      <w:r>
        <w:t>2</w:t>
      </w:r>
      <w:r>
        <w:fldChar w:fldCharType="end"/>
      </w:r>
    </w:p>
    <w:p w14:paraId="33A47CE9" w14:textId="77777777"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_Toc492043874 \h </w:instrText>
      </w:r>
      <w:r>
        <w:fldChar w:fldCharType="separate"/>
      </w:r>
      <w:r>
        <w:t>3</w:t>
      </w:r>
      <w:r>
        <w:fldChar w:fldCharType="end"/>
      </w:r>
    </w:p>
    <w:p w14:paraId="4858C625" w14:textId="77777777" w:rsidR="001B57BC" w:rsidRPr="00E77C44" w:rsidRDefault="001B57BC" w:rsidP="001B57BC">
      <w:r w:rsidRPr="007F1956">
        <w:fldChar w:fldCharType="end"/>
      </w:r>
    </w:p>
    <w:p w14:paraId="10B64892" w14:textId="77777777" w:rsidR="001B57BC" w:rsidRPr="00B8036A" w:rsidRDefault="001B57BC" w:rsidP="001B57BC"/>
    <w:p w14:paraId="3C0AB552" w14:textId="77777777" w:rsidR="00E50233" w:rsidRDefault="00E50233">
      <w:pPr>
        <w:spacing w:after="0"/>
      </w:pPr>
      <w:r>
        <w:br w:type="page"/>
      </w:r>
    </w:p>
    <w:p w14:paraId="01DAF20B" w14:textId="77777777" w:rsidR="005A1FCB" w:rsidRPr="001B57BC" w:rsidRDefault="005A1FCB" w:rsidP="001B57BC"/>
    <w:p w14:paraId="47844F03" w14:textId="77777777" w:rsidR="00E5717F" w:rsidRDefault="0071056F">
      <w:pPr>
        <w:pStyle w:val="Heading1"/>
      </w:pPr>
      <w:r>
        <w:rPr>
          <w:lang w:val="nl-BE"/>
        </w:rPr>
        <w:t>Introduction</w:t>
      </w:r>
    </w:p>
    <w:p w14:paraId="39D7F6B7" w14:textId="77777777" w:rsidR="00E5717F" w:rsidRDefault="0071056F">
      <w:pPr>
        <w:pStyle w:val="Heading2"/>
      </w:pPr>
      <w:r>
        <w:rPr>
          <w:lang w:val="nl-BE"/>
        </w:rPr>
        <w:t>Purpose</w:t>
      </w:r>
    </w:p>
    <w:p w14:paraId="2D20A60B" w14:textId="77777777" w:rsidR="00E5717F" w:rsidRDefault="0071056F">
      <w:r w:rsidRPr="00794361">
        <w:rPr>
          <w:lang w:val="en-GB"/>
        </w:rPr>
        <w:t>This document defines the operation of the workflow, input parameters and performed tasks.</w:t>
      </w:r>
    </w:p>
    <w:p w14:paraId="588ECC7C" w14:textId="77777777" w:rsidR="00E5717F" w:rsidRDefault="0071056F">
      <w:pPr>
        <w:pStyle w:val="Heading2"/>
      </w:pPr>
      <w:r>
        <w:rPr>
          <w:lang w:val="nl-BE"/>
        </w:rPr>
        <w:t>Description</w:t>
      </w:r>
    </w:p>
    <w:p w14:paraId="79479EBD" w14:textId="77777777" w:rsidR="00E5717F" w:rsidRDefault="0071056F">
      <w:r w:rsidRPr="00794361">
        <w:rPr>
          <w:lang w:val="en-GB"/>
        </w:rPr>
        <w:t>Creates a new SVM Dr relation.</w:t>
      </w:r>
      <w:r w:rsidRPr="00794361">
        <w:rPr>
          <w:lang w:val="en-GB"/>
        </w:rPr>
        <w:br/>
        <w:t xml:space="preserve">Creates the new </w:t>
      </w:r>
      <w:proofErr w:type="spellStart"/>
      <w:r w:rsidRPr="00794361">
        <w:rPr>
          <w:lang w:val="en-GB"/>
        </w:rPr>
        <w:t>svm</w:t>
      </w:r>
      <w:proofErr w:type="spellEnd"/>
      <w:r w:rsidRPr="00794361">
        <w:rPr>
          <w:lang w:val="en-GB"/>
        </w:rPr>
        <w:t xml:space="preserve">, with all its settings and will initialize </w:t>
      </w:r>
      <w:proofErr w:type="spellStart"/>
      <w:r w:rsidRPr="00794361">
        <w:rPr>
          <w:lang w:val="en-GB"/>
        </w:rPr>
        <w:t>snapmirrors</w:t>
      </w:r>
      <w:proofErr w:type="spellEnd"/>
      <w:r w:rsidRPr="00794361">
        <w:rPr>
          <w:lang w:val="en-GB"/>
        </w:rPr>
        <w:t xml:space="preserve"> for all volumes.  This workflow assumes that the destination </w:t>
      </w:r>
      <w:proofErr w:type="spellStart"/>
      <w:r w:rsidRPr="00794361">
        <w:rPr>
          <w:lang w:val="en-GB"/>
        </w:rPr>
        <w:t>svm</w:t>
      </w:r>
      <w:proofErr w:type="spellEnd"/>
      <w:r w:rsidRPr="00794361">
        <w:rPr>
          <w:lang w:val="en-GB"/>
        </w:rPr>
        <w:t xml:space="preserve"> will be identical (same </w:t>
      </w:r>
      <w:proofErr w:type="spellStart"/>
      <w:r w:rsidRPr="00794361">
        <w:rPr>
          <w:lang w:val="en-GB"/>
        </w:rPr>
        <w:t>vlan's</w:t>
      </w:r>
      <w:proofErr w:type="spellEnd"/>
      <w:r w:rsidRPr="00794361">
        <w:rPr>
          <w:lang w:val="en-GB"/>
        </w:rPr>
        <w:t xml:space="preserve">, same </w:t>
      </w:r>
      <w:proofErr w:type="spellStart"/>
      <w:r w:rsidRPr="00794361">
        <w:rPr>
          <w:lang w:val="en-GB"/>
        </w:rPr>
        <w:t>ip's</w:t>
      </w:r>
      <w:proofErr w:type="spellEnd"/>
      <w:r w:rsidRPr="00794361">
        <w:rPr>
          <w:lang w:val="en-GB"/>
        </w:rPr>
        <w:t>, ...)</w:t>
      </w:r>
      <w:r w:rsidRPr="00794361">
        <w:rPr>
          <w:lang w:val="en-GB"/>
        </w:rPr>
        <w:br/>
      </w:r>
      <w:r w:rsidRPr="00794361">
        <w:rPr>
          <w:lang w:val="en-GB"/>
        </w:rPr>
        <w:br/>
        <w:t xml:space="preserve">If the </w:t>
      </w:r>
      <w:proofErr w:type="spellStart"/>
      <w:r w:rsidRPr="00794361">
        <w:rPr>
          <w:lang w:val="en-GB"/>
        </w:rPr>
        <w:t>svm</w:t>
      </w:r>
      <w:proofErr w:type="spellEnd"/>
      <w:r w:rsidRPr="00794361">
        <w:rPr>
          <w:lang w:val="en-GB"/>
        </w:rPr>
        <w:t xml:space="preserve"> is cifs enabled, you will need to provide a temporary IP to join in AD.  You also need to point out the cifs </w:t>
      </w:r>
      <w:proofErr w:type="spellStart"/>
      <w:r w:rsidRPr="00794361">
        <w:rPr>
          <w:lang w:val="en-GB"/>
        </w:rPr>
        <w:t>lif</w:t>
      </w:r>
      <w:proofErr w:type="spellEnd"/>
      <w:r w:rsidRPr="00794361">
        <w:rPr>
          <w:lang w:val="en-GB"/>
        </w:rPr>
        <w:t xml:space="preserve"> we can </w:t>
      </w:r>
      <w:proofErr w:type="spellStart"/>
      <w:r w:rsidRPr="00794361">
        <w:rPr>
          <w:lang w:val="en-GB"/>
        </w:rPr>
        <w:t>tempory</w:t>
      </w:r>
      <w:proofErr w:type="spellEnd"/>
      <w:r w:rsidRPr="00794361">
        <w:rPr>
          <w:lang w:val="en-GB"/>
        </w:rPr>
        <w:t xml:space="preserve"> clone to attach that IP.  </w:t>
      </w:r>
      <w:r>
        <w:rPr>
          <w:lang w:val="nl-BE"/>
        </w:rPr>
        <w:t xml:space="preserve">The temp </w:t>
      </w:r>
      <w:proofErr w:type="spellStart"/>
      <w:r>
        <w:rPr>
          <w:lang w:val="nl-BE"/>
        </w:rPr>
        <w:t>lif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removed</w:t>
      </w:r>
      <w:proofErr w:type="spellEnd"/>
      <w:r>
        <w:rPr>
          <w:lang w:val="nl-BE"/>
        </w:rPr>
        <w:t xml:space="preserve"> again after join.</w:t>
      </w:r>
      <w:r>
        <w:rPr>
          <w:lang w:val="nl-BE"/>
        </w:rPr>
        <w:br/>
      </w:r>
      <w:r>
        <w:rPr>
          <w:lang w:val="nl-BE"/>
        </w:rPr>
        <w:br/>
      </w:r>
    </w:p>
    <w:p w14:paraId="4BA1B5DD" w14:textId="77777777" w:rsidR="00E5717F" w:rsidRDefault="0071056F">
      <w:pPr>
        <w:pStyle w:val="Heading2"/>
      </w:pPr>
      <w:r>
        <w:rPr>
          <w:lang w:val="nl-BE"/>
        </w:rPr>
        <w:t>Assumptions</w:t>
      </w:r>
    </w:p>
    <w:p w14:paraId="15CACD35" w14:textId="77777777" w:rsidR="00E5717F" w:rsidRDefault="0071056F">
      <w:r w:rsidRPr="00794361">
        <w:rPr>
          <w:lang w:val="en-GB"/>
        </w:rPr>
        <w:t>For individuals reading this document please note that the following has been assumed:</w:t>
      </w:r>
    </w:p>
    <w:p w14:paraId="202F2FA4" w14:textId="77777777" w:rsidR="00E5717F" w:rsidRDefault="0071056F">
      <w:pPr>
        <w:numPr>
          <w:ilvl w:val="0"/>
          <w:numId w:val="38"/>
        </w:numPr>
      </w:pPr>
      <w:r>
        <w:t>A familiarity with NetApp products and technologies</w:t>
      </w:r>
    </w:p>
    <w:p w14:paraId="4D4361B2" w14:textId="77777777" w:rsidR="00E5717F" w:rsidRDefault="0071056F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2D07CF91" w14:textId="77777777" w:rsidR="00E5717F" w:rsidRDefault="0071056F">
      <w:pPr>
        <w:pStyle w:val="Heading1"/>
      </w:pPr>
      <w:r>
        <w:rPr>
          <w:lang w:val="nl-BE"/>
        </w:rPr>
        <w:lastRenderedPageBreak/>
        <w:t>Workflow Inputs and outputs</w:t>
      </w:r>
    </w:p>
    <w:p w14:paraId="1FB2C8B7" w14:textId="3779B2C0" w:rsidR="00E5717F" w:rsidRDefault="0071056F">
      <w:pPr>
        <w:pStyle w:val="Heading2"/>
        <w:rPr>
          <w:lang w:val="nl-BE"/>
        </w:rPr>
      </w:pPr>
      <w:r>
        <w:rPr>
          <w:lang w:val="nl-BE"/>
        </w:rPr>
        <w:t>Screenshot</w:t>
      </w:r>
    </w:p>
    <w:p w14:paraId="52CB4C49" w14:textId="24695529" w:rsidR="00794361" w:rsidRDefault="00794361" w:rsidP="00794361">
      <w:pPr>
        <w:pStyle w:val="BodyIndent"/>
        <w:rPr>
          <w:lang w:val="nl-BE"/>
        </w:rPr>
      </w:pPr>
      <w:r>
        <w:drawing>
          <wp:inline distT="0" distB="0" distL="0" distR="0" wp14:anchorId="37F46AC0" wp14:editId="1FD8B45B">
            <wp:extent cx="5733415" cy="62007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491" w14:textId="46034773" w:rsidR="00853A47" w:rsidRPr="00794361" w:rsidRDefault="00853A47" w:rsidP="00794361">
      <w:pPr>
        <w:pStyle w:val="BodyIndent"/>
        <w:rPr>
          <w:lang w:val="nl-BE"/>
        </w:rPr>
      </w:pPr>
      <w:r>
        <w:lastRenderedPageBreak/>
        <w:drawing>
          <wp:inline distT="0" distB="0" distL="0" distR="0" wp14:anchorId="06D8EB09" wp14:editId="7BDBAD24">
            <wp:extent cx="5733415" cy="42964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A6245C5" w14:textId="77777777" w:rsidR="00E5717F" w:rsidRDefault="0071056F">
      <w:pPr>
        <w:pStyle w:val="Heading2"/>
      </w:pPr>
      <w:r>
        <w:rPr>
          <w:lang w:val="nl-BE"/>
        </w:rPr>
        <w:t xml:space="preserve">Workflow </w:t>
      </w:r>
      <w:proofErr w:type="spellStart"/>
      <w:r>
        <w:rPr>
          <w:lang w:val="nl-BE"/>
        </w:rPr>
        <w:t>inputs</w:t>
      </w:r>
      <w:proofErr w:type="spellEnd"/>
    </w:p>
    <w:p w14:paraId="771B446B" w14:textId="77777777" w:rsidR="00E5717F" w:rsidRDefault="0071056F">
      <w:r w:rsidRPr="00794361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864"/>
        <w:gridCol w:w="950"/>
        <w:gridCol w:w="3202"/>
        <w:gridCol w:w="3003"/>
      </w:tblGrid>
      <w:tr w:rsidR="00E5717F" w14:paraId="0616B54D" w14:textId="77777777" w:rsidTr="00E57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C1CC35D" w14:textId="77777777" w:rsidR="00E5717F" w:rsidRDefault="0071056F">
            <w:r>
              <w:t>Name</w:t>
            </w:r>
          </w:p>
        </w:tc>
        <w:tc>
          <w:tcPr>
            <w:tcW w:w="2310" w:type="auto"/>
          </w:tcPr>
          <w:p w14:paraId="267FC8CA" w14:textId="77777777" w:rsidR="00E5717F" w:rsidRDefault="00710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0F46A68E" w14:textId="77777777" w:rsidR="00E5717F" w:rsidRDefault="00710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24705FC4" w14:textId="77777777" w:rsidR="00E5717F" w:rsidRDefault="00710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5717F" w14:paraId="5906999B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0360F4F" w14:textId="77777777" w:rsidR="00E5717F" w:rsidRDefault="0071056F">
            <w:r>
              <w:t>Source Cluster</w:t>
            </w:r>
          </w:p>
        </w:tc>
        <w:tc>
          <w:tcPr>
            <w:tcW w:w="2310" w:type="auto"/>
          </w:tcPr>
          <w:p w14:paraId="24F6165A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FC44D92" w14:textId="77777777" w:rsidR="00E5717F" w:rsidRDefault="00E5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8E08977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E5717F" w14:paraId="087C6595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D3FC76B" w14:textId="77777777" w:rsidR="00E5717F" w:rsidRDefault="0071056F">
            <w:r>
              <w:t>Vserver</w:t>
            </w:r>
          </w:p>
        </w:tc>
        <w:tc>
          <w:tcPr>
            <w:tcW w:w="2310" w:type="auto"/>
          </w:tcPr>
          <w:p w14:paraId="42D2343B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152A85B1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B578B01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E5717F" w14:paraId="16C29D26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751ABCB" w14:textId="77777777" w:rsidR="00E5717F" w:rsidRDefault="0071056F">
            <w:r>
              <w:t>Dr Cluster</w:t>
            </w:r>
          </w:p>
        </w:tc>
        <w:tc>
          <w:tcPr>
            <w:tcW w:w="2310" w:type="auto"/>
          </w:tcPr>
          <w:p w14:paraId="03385A19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3E53246" w14:textId="77777777" w:rsidR="00E5717F" w:rsidRDefault="00E5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AC65BF5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E5717F" w14:paraId="2B5B2758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31377CC" w14:textId="77777777" w:rsidR="00E5717F" w:rsidRDefault="0071056F">
            <w:r>
              <w:t>Dr Vserver</w:t>
            </w:r>
          </w:p>
        </w:tc>
        <w:tc>
          <w:tcPr>
            <w:tcW w:w="2310" w:type="auto"/>
          </w:tcPr>
          <w:p w14:paraId="5CE7A167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3D27D385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BEA6CC2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E5717F" w14:paraId="3D385E36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3011EC7" w14:textId="77777777" w:rsidR="00E5717F" w:rsidRDefault="0071056F">
            <w:r>
              <w:t>Sync Quota</w:t>
            </w:r>
          </w:p>
        </w:tc>
        <w:tc>
          <w:tcPr>
            <w:tcW w:w="2310" w:type="auto"/>
          </w:tcPr>
          <w:p w14:paraId="3D06A0E5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42573A8C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quota sync.  Quota's will be backed up and restored during DR Activate.</w:t>
            </w:r>
          </w:p>
        </w:tc>
        <w:tc>
          <w:tcPr>
            <w:tcW w:w="2310" w:type="auto"/>
          </w:tcPr>
          <w:p w14:paraId="276DE008" w14:textId="77777777" w:rsidR="00E5717F" w:rsidRDefault="00E5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17F" w14:paraId="05C831FC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6830626" w14:textId="77777777" w:rsidR="00E5717F" w:rsidRDefault="0071056F">
            <w:r>
              <w:t>Force Recreate</w:t>
            </w:r>
          </w:p>
        </w:tc>
        <w:tc>
          <w:tcPr>
            <w:tcW w:w="2310" w:type="auto"/>
          </w:tcPr>
          <w:p w14:paraId="5B8FB30C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32D4CBFF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8A2BA0C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17F" w14:paraId="4A0C92C5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C3238EE" w14:textId="77777777" w:rsidR="00E5717F" w:rsidRDefault="0071056F">
            <w:r>
              <w:t>Dr from Dr</w:t>
            </w:r>
          </w:p>
        </w:tc>
        <w:tc>
          <w:tcPr>
            <w:tcW w:w="2310" w:type="auto"/>
          </w:tcPr>
          <w:p w14:paraId="5DBEFEFE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03492BEC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this if the source is already a DR target</w:t>
            </w:r>
          </w:p>
        </w:tc>
        <w:tc>
          <w:tcPr>
            <w:tcW w:w="2310" w:type="auto"/>
          </w:tcPr>
          <w:p w14:paraId="2926A173" w14:textId="77777777" w:rsidR="00E5717F" w:rsidRDefault="00E5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17F" w14:paraId="6FBE855F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F675FD0" w14:textId="77777777" w:rsidR="00E5717F" w:rsidRDefault="0071056F">
            <w:r>
              <w:t>XDP Policy</w:t>
            </w:r>
          </w:p>
        </w:tc>
        <w:tc>
          <w:tcPr>
            <w:tcW w:w="2310" w:type="auto"/>
          </w:tcPr>
          <w:p w14:paraId="1BD39D02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03B2587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81B70AE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E5717F" w14:paraId="6EA35A0C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B0F7642" w14:textId="77777777" w:rsidR="00E5717F" w:rsidRDefault="0071056F">
            <w:r>
              <w:t>Lif to clone to join AD</w:t>
            </w:r>
          </w:p>
        </w:tc>
        <w:tc>
          <w:tcPr>
            <w:tcW w:w="2310" w:type="auto"/>
          </w:tcPr>
          <w:p w14:paraId="1B38BFC9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B223498" w14:textId="77777777" w:rsidR="00E5717F" w:rsidRDefault="00E5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A489C5D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Mandatory. Conditional based on 'Cifs Enabled' when the values are: yes.</w:t>
            </w:r>
          </w:p>
        </w:tc>
      </w:tr>
      <w:tr w:rsidR="00E5717F" w14:paraId="5B69CCF7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BC27C64" w14:textId="77777777" w:rsidR="00E5717F" w:rsidRDefault="0071056F">
            <w:r>
              <w:lastRenderedPageBreak/>
              <w:t>Temporary Cifs Ip to join in AD</w:t>
            </w:r>
          </w:p>
        </w:tc>
        <w:tc>
          <w:tcPr>
            <w:tcW w:w="2310" w:type="auto"/>
          </w:tcPr>
          <w:p w14:paraId="3F2ACFE3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0" w:type="auto"/>
          </w:tcPr>
          <w:p w14:paraId="6875FCD9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171F251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Mandatory. Conditional based on 'Cifs Enabled' when the values are: yes.</w:t>
            </w:r>
          </w:p>
        </w:tc>
      </w:tr>
      <w:tr w:rsidR="00E5717F" w14:paraId="744222AA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4E8FAC6" w14:textId="77777777" w:rsidR="00E5717F" w:rsidRDefault="0071056F">
            <w:r>
              <w:t>Ignore Quota Off</w:t>
            </w:r>
          </w:p>
        </w:tc>
        <w:tc>
          <w:tcPr>
            <w:tcW w:w="2310" w:type="auto"/>
          </w:tcPr>
          <w:p w14:paraId="78E925A3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2355E8C2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quota on volumes where quota is off</w:t>
            </w:r>
          </w:p>
        </w:tc>
        <w:tc>
          <w:tcPr>
            <w:tcW w:w="2310" w:type="auto"/>
          </w:tcPr>
          <w:p w14:paraId="31CF2EC6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 based on 'Sync Quota' when the values are: true.</w:t>
            </w:r>
          </w:p>
        </w:tc>
      </w:tr>
      <w:tr w:rsidR="00E5717F" w14:paraId="0CF2B8EF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838D190" w14:textId="77777777" w:rsidR="00E5717F" w:rsidRDefault="0071056F">
            <w:r>
              <w:t>Force Delete Quota</w:t>
            </w:r>
          </w:p>
        </w:tc>
        <w:tc>
          <w:tcPr>
            <w:tcW w:w="2310" w:type="auto"/>
          </w:tcPr>
          <w:p w14:paraId="26CC5A41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08AF3A65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Force removal of quota if quota contains errors</w:t>
            </w:r>
          </w:p>
        </w:tc>
        <w:tc>
          <w:tcPr>
            <w:tcW w:w="2310" w:type="auto"/>
          </w:tcPr>
          <w:p w14:paraId="455FF2CF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Conditional based on 'Sync Quota' when the values are: true.</w:t>
            </w:r>
          </w:p>
        </w:tc>
      </w:tr>
      <w:tr w:rsidR="00E5717F" w14:paraId="06AD3A62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6AD521C" w14:textId="77777777" w:rsidR="00E5717F" w:rsidRDefault="0071056F">
            <w:r>
              <w:t>Correct Quota Errors</w:t>
            </w:r>
          </w:p>
        </w:tc>
        <w:tc>
          <w:tcPr>
            <w:tcW w:w="2310" w:type="auto"/>
          </w:tcPr>
          <w:p w14:paraId="5233D93B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2A219D34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quota correction (only works in some occasions)</w:t>
            </w:r>
          </w:p>
        </w:tc>
        <w:tc>
          <w:tcPr>
            <w:tcW w:w="2310" w:type="auto"/>
          </w:tcPr>
          <w:p w14:paraId="66989587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 based on 'Sync Quota' when the values are: true.</w:t>
            </w:r>
          </w:p>
        </w:tc>
      </w:tr>
      <w:tr w:rsidR="00E5717F" w14:paraId="38DC7D9E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EA56904" w14:textId="77777777" w:rsidR="00E5717F" w:rsidRDefault="0071056F">
            <w:r>
              <w:t>Ignore Qtree Export Policies</w:t>
            </w:r>
          </w:p>
        </w:tc>
        <w:tc>
          <w:tcPr>
            <w:tcW w:w="2310" w:type="auto"/>
          </w:tcPr>
          <w:p w14:paraId="6ABA86C2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10D0A52F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F5DB459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17F" w14:paraId="400CC6E7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DCBF494" w14:textId="77777777" w:rsidR="00E5717F" w:rsidRDefault="0071056F">
            <w:r>
              <w:t>Debug</w:t>
            </w:r>
          </w:p>
        </w:tc>
        <w:tc>
          <w:tcPr>
            <w:tcW w:w="2310" w:type="auto"/>
          </w:tcPr>
          <w:p w14:paraId="1472DE56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15C8336E" w14:textId="77777777" w:rsidR="00E5717F" w:rsidRDefault="00E5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C69C08D" w14:textId="77777777" w:rsidR="00E5717F" w:rsidRDefault="00E5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17F" w14:paraId="6687EDD9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537520D" w14:textId="77777777" w:rsidR="00E5717F" w:rsidRDefault="0071056F">
            <w:r>
              <w:t>Cifs Enabled</w:t>
            </w:r>
          </w:p>
        </w:tc>
        <w:tc>
          <w:tcPr>
            <w:tcW w:w="2310" w:type="auto"/>
          </w:tcPr>
          <w:p w14:paraId="76539728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7FDAE2F2" w14:textId="77777777" w:rsidR="00E5717F" w:rsidRDefault="00E571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B416337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E5717F" w14:paraId="292CE696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7BC98DE" w14:textId="77777777" w:rsidR="00E5717F" w:rsidRDefault="0071056F">
            <w:r>
              <w:t>DR Suffix</w:t>
            </w:r>
          </w:p>
        </w:tc>
        <w:tc>
          <w:tcPr>
            <w:tcW w:w="2310" w:type="auto"/>
          </w:tcPr>
          <w:p w14:paraId="694139DD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655BC7D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 Suffix (see wfa.ini file)</w:t>
            </w:r>
          </w:p>
        </w:tc>
        <w:tc>
          <w:tcPr>
            <w:tcW w:w="2310" w:type="auto"/>
          </w:tcPr>
          <w:p w14:paraId="222CBBCA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3A96D6CB" w14:textId="77777777" w:rsidR="00E5717F" w:rsidRDefault="0071056F">
      <w:pPr>
        <w:pStyle w:val="Heading2"/>
      </w:pPr>
      <w:r>
        <w:rPr>
          <w:lang w:val="nl-BE"/>
        </w:rPr>
        <w:t>Workflow outputs</w:t>
      </w:r>
    </w:p>
    <w:p w14:paraId="47BAFC77" w14:textId="77777777" w:rsidR="00E5717F" w:rsidRDefault="0071056F">
      <w:r>
        <w:rPr>
          <w:lang w:val="nl-BE"/>
        </w:rPr>
        <w:t>None.</w:t>
      </w:r>
    </w:p>
    <w:p w14:paraId="6B744F73" w14:textId="77777777" w:rsidR="00E5717F" w:rsidRDefault="0071056F">
      <w:pPr>
        <w:pStyle w:val="Heading1"/>
      </w:pPr>
      <w:r>
        <w:rPr>
          <w:lang w:val="nl-BE"/>
        </w:rPr>
        <w:t>Workflow operation</w:t>
      </w:r>
    </w:p>
    <w:p w14:paraId="6818D008" w14:textId="77777777" w:rsidR="00E5717F" w:rsidRDefault="0071056F">
      <w:pPr>
        <w:pStyle w:val="Heading2"/>
      </w:pPr>
      <w:r>
        <w:rPr>
          <w:lang w:val="nl-BE"/>
        </w:rPr>
        <w:t>Workflow commands</w:t>
      </w:r>
    </w:p>
    <w:p w14:paraId="1AF1BA6B" w14:textId="77777777" w:rsidR="00E5717F" w:rsidRDefault="0071056F">
      <w:r w:rsidRPr="00794361">
        <w:rPr>
          <w:lang w:val="en-GB"/>
        </w:rPr>
        <w:t>The table below shows the commands used in the workflow.</w:t>
      </w:r>
    </w:p>
    <w:p w14:paraId="468969D8" w14:textId="77777777" w:rsidR="00E5717F" w:rsidRDefault="0071056F">
      <w:r w:rsidRPr="00794361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980"/>
        <w:gridCol w:w="2169"/>
        <w:gridCol w:w="4870"/>
      </w:tblGrid>
      <w:tr w:rsidR="00E5717F" w14:paraId="4527D4C8" w14:textId="77777777" w:rsidTr="00E57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0AE6E8B" w14:textId="77777777" w:rsidR="00E5717F" w:rsidRDefault="0071056F">
            <w:r>
              <w:t>Name</w:t>
            </w:r>
          </w:p>
        </w:tc>
        <w:tc>
          <w:tcPr>
            <w:tcW w:w="2310" w:type="auto"/>
          </w:tcPr>
          <w:p w14:paraId="5ED393A0" w14:textId="77777777" w:rsidR="00E5717F" w:rsidRDefault="00710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75D345C0" w14:textId="77777777" w:rsidR="00E5717F" w:rsidRDefault="00710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717F" w14:paraId="1C37329C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41AC437" w14:textId="77777777" w:rsidR="00E5717F" w:rsidRDefault="0071056F">
            <w:r>
              <w:t>Search or define</w:t>
            </w:r>
          </w:p>
        </w:tc>
        <w:tc>
          <w:tcPr>
            <w:tcW w:w="2310" w:type="auto"/>
          </w:tcPr>
          <w:p w14:paraId="31E6375E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67E6CC44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E5717F" w14:paraId="23E42597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C9D3F5A" w14:textId="77777777" w:rsidR="00E5717F" w:rsidRDefault="0071056F">
            <w:r>
              <w:t>Svm Dr - Create Cluster Relation</w:t>
            </w:r>
          </w:p>
        </w:tc>
        <w:tc>
          <w:tcPr>
            <w:tcW w:w="2310" w:type="auto"/>
          </w:tcPr>
          <w:p w14:paraId="07940769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Create Cluster Relation / 1.0.0</w:t>
            </w:r>
          </w:p>
        </w:tc>
        <w:tc>
          <w:tcPr>
            <w:tcW w:w="2310" w:type="auto"/>
          </w:tcPr>
          <w:p w14:paraId="54ED04F6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Creates &amp; Updates a relationship configuration between 2 vservers</w:t>
            </w:r>
            <w:r>
              <w:br/>
            </w:r>
          </w:p>
        </w:tc>
      </w:tr>
      <w:tr w:rsidR="00E5717F" w14:paraId="42FEE64C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282CBA1" w14:textId="77777777" w:rsidR="00E5717F" w:rsidRDefault="0071056F">
            <w:r>
              <w:t>Search Cifs lif</w:t>
            </w:r>
          </w:p>
        </w:tc>
        <w:tc>
          <w:tcPr>
            <w:tcW w:w="2310" w:type="auto"/>
          </w:tcPr>
          <w:p w14:paraId="6ECA94AF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6CB6FC6E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E5717F" w14:paraId="4862EC7A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7D5BF76" w14:textId="77777777" w:rsidR="00E5717F" w:rsidRDefault="0071056F">
            <w:r>
              <w:t>Svm Dr - Create / Initialiize svm dr</w:t>
            </w:r>
          </w:p>
        </w:tc>
        <w:tc>
          <w:tcPr>
            <w:tcW w:w="2310" w:type="auto"/>
          </w:tcPr>
          <w:p w14:paraId="6E1EE124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Create - Initialiize svm dr / 1.0.1</w:t>
            </w:r>
          </w:p>
        </w:tc>
        <w:tc>
          <w:tcPr>
            <w:tcW w:w="2310" w:type="auto"/>
          </w:tcPr>
          <w:p w14:paraId="31B002A9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Creates and initializes new relationship between 2 vservers</w:t>
            </w:r>
            <w:r>
              <w:br/>
              <w:t>This command can be run multiple time</w:t>
            </w:r>
            <w:r>
              <w:br/>
            </w:r>
            <w:r>
              <w:br/>
              <w:t xml:space="preserve">you can provide some of the optional parameters </w:t>
            </w:r>
            <w:r>
              <w:br/>
            </w:r>
            <w:r>
              <w:br/>
              <w:t xml:space="preserve">    - A temporary IP to join in AD.</w:t>
            </w:r>
            <w:r>
              <w:br/>
            </w:r>
            <w:r>
              <w:lastRenderedPageBreak/>
              <w:t xml:space="preserve">    - A lif master template (to clone) to join in AD. (merged with the temp ip)</w:t>
            </w:r>
            <w:r>
              <w:br/>
              <w:t xml:space="preserve">    - A combination of the aggregate options to have smart aggregate selection</w:t>
            </w:r>
            <w:r>
              <w:br/>
              <w:t xml:space="preserve">    - The Node regex, to make smart node selection</w:t>
            </w:r>
            <w:r>
              <w:br/>
            </w:r>
            <w:r>
              <w:br/>
              <w:t>Aggregate Resource Selection is in the following order</w:t>
            </w:r>
            <w:r>
              <w:br/>
            </w:r>
            <w:r>
              <w:br/>
              <w:t xml:space="preserve">    1) Regular Expression</w:t>
            </w:r>
            <w:r>
              <w:br/>
              <w:t xml:space="preserve">    2) Default Aggregate</w:t>
            </w:r>
            <w:r>
              <w:br/>
              <w:t xml:space="preserve">    3) Aggregate with most available space</w:t>
            </w:r>
            <w:r>
              <w:br/>
            </w:r>
            <w:r>
              <w:br/>
              <w:t>The AggrMatchRegex and NodeMatchRegex work like this :</w:t>
            </w:r>
            <w:r>
              <w:br/>
              <w:t xml:space="preserve">     - Your regex is first applied to the primary resource</w:t>
            </w:r>
            <w:r>
              <w:br/>
              <w:t xml:space="preserve">     - Then all "regex groups" are replace by wildcards</w:t>
            </w:r>
            <w:r>
              <w:br/>
            </w:r>
            <w:r>
              <w:br/>
              <w:t xml:space="preserve">        Examples :</w:t>
            </w:r>
            <w:r>
              <w:br/>
              <w:t xml:space="preserve">            - 1 on 1 match : ".*" =&gt; (src = aggr1 ; dst = aggr1) </w:t>
            </w:r>
            <w:r>
              <w:br/>
              <w:t xml:space="preserve">            - string replace : "ep(.*)snas[0-9]*_aggr[0-9]*" =&gt; (src = ep*snas54_aggr1 ; dst = ep*snas54_aggr1)</w:t>
            </w:r>
            <w:r>
              <w:br/>
              <w:t xml:space="preserve">            - node number match : "(.*)-[0-9]{2}" =&gt; (src = *-03 ; dst = *-03)</w:t>
            </w:r>
            <w:r>
              <w:br/>
            </w:r>
            <w:r>
              <w:br/>
              <w:t>#version control</w:t>
            </w:r>
            <w:r>
              <w:br/>
              <w:t>1.0.0 Initial version</w:t>
            </w:r>
            <w:r>
              <w:br/>
              <w:t>1.0.1 Add ldap credentials</w:t>
            </w:r>
          </w:p>
        </w:tc>
      </w:tr>
    </w:tbl>
    <w:p w14:paraId="7E544CD0" w14:textId="77777777" w:rsidR="00E5717F" w:rsidRDefault="0071056F">
      <w:pPr>
        <w:pStyle w:val="Heading1"/>
      </w:pPr>
      <w:proofErr w:type="spellStart"/>
      <w:r>
        <w:rPr>
          <w:lang w:val="nl-BE"/>
        </w:rPr>
        <w:lastRenderedPageBreak/>
        <w:t>Apendix</w:t>
      </w:r>
      <w:proofErr w:type="spellEnd"/>
    </w:p>
    <w:p w14:paraId="6A32A779" w14:textId="77777777" w:rsidR="00E5717F" w:rsidRDefault="0071056F">
      <w:pPr>
        <w:pStyle w:val="Heading2"/>
      </w:pPr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E5717F" w14:paraId="514F6843" w14:textId="77777777" w:rsidTr="00E57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44FC2BF" w14:textId="77777777" w:rsidR="00E5717F" w:rsidRDefault="0071056F">
            <w:r>
              <w:t>Version</w:t>
            </w:r>
          </w:p>
        </w:tc>
        <w:tc>
          <w:tcPr>
            <w:tcW w:w="2310" w:type="pct"/>
          </w:tcPr>
          <w:p w14:paraId="72EEE18A" w14:textId="77777777" w:rsidR="00E5717F" w:rsidRDefault="00710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5717F" w14:paraId="4DCB7FE6" w14:textId="77777777" w:rsidTr="00E57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5FB95D" w14:textId="77777777" w:rsidR="00E5717F" w:rsidRDefault="0071056F">
            <w:r>
              <w:t>1.0.0</w:t>
            </w:r>
          </w:p>
        </w:tc>
        <w:tc>
          <w:tcPr>
            <w:tcW w:w="2310" w:type="pct"/>
          </w:tcPr>
          <w:p w14:paraId="69571B9F" w14:textId="77777777" w:rsidR="00E5717F" w:rsidRDefault="0071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E5717F" w14:paraId="508AC387" w14:textId="77777777" w:rsidTr="00E57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F66BEE" w14:textId="77777777" w:rsidR="00E5717F" w:rsidRDefault="0071056F">
            <w:r>
              <w:t>1.0.1</w:t>
            </w:r>
          </w:p>
        </w:tc>
        <w:tc>
          <w:tcPr>
            <w:tcW w:w="2310" w:type="pct"/>
          </w:tcPr>
          <w:p w14:paraId="129746FB" w14:textId="77777777" w:rsidR="00E5717F" w:rsidRDefault="00710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Drop config file requirement</w:t>
            </w:r>
          </w:p>
        </w:tc>
      </w:tr>
    </w:tbl>
    <w:p w14:paraId="767C02A8" w14:textId="77777777" w:rsidR="0071056F" w:rsidRDefault="0071056F"/>
    <w:sectPr w:rsidR="0071056F" w:rsidSect="00303D8F">
      <w:footerReference w:type="default" r:id="rId11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A8324" w14:textId="77777777" w:rsidR="007B561F" w:rsidRDefault="007B561F">
      <w:r>
        <w:separator/>
      </w:r>
    </w:p>
    <w:p w14:paraId="2DD5A0B8" w14:textId="77777777" w:rsidR="007B561F" w:rsidRDefault="007B561F"/>
    <w:p w14:paraId="778385DC" w14:textId="77777777" w:rsidR="007B561F" w:rsidRDefault="007B561F"/>
  </w:endnote>
  <w:endnote w:type="continuationSeparator" w:id="0">
    <w:p w14:paraId="7984914C" w14:textId="77777777" w:rsidR="007B561F" w:rsidRDefault="007B561F">
      <w:r>
        <w:continuationSeparator/>
      </w:r>
    </w:p>
    <w:p w14:paraId="6DC7106F" w14:textId="77777777" w:rsidR="007B561F" w:rsidRDefault="007B561F"/>
    <w:p w14:paraId="08CE6E09" w14:textId="77777777" w:rsidR="007B561F" w:rsidRDefault="007B5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12E00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A2EEB" w14:textId="77777777" w:rsidR="007B561F" w:rsidRDefault="007B561F">
      <w:r>
        <w:separator/>
      </w:r>
    </w:p>
    <w:p w14:paraId="09A6B083" w14:textId="77777777" w:rsidR="007B561F" w:rsidRDefault="007B561F"/>
    <w:p w14:paraId="5ACE3B79" w14:textId="77777777" w:rsidR="007B561F" w:rsidRDefault="007B561F"/>
  </w:footnote>
  <w:footnote w:type="continuationSeparator" w:id="0">
    <w:p w14:paraId="24406238" w14:textId="77777777" w:rsidR="007B561F" w:rsidRDefault="007B561F">
      <w:r>
        <w:continuationSeparator/>
      </w:r>
    </w:p>
    <w:p w14:paraId="5504C2FA" w14:textId="77777777" w:rsidR="007B561F" w:rsidRDefault="007B561F"/>
    <w:p w14:paraId="32B8D959" w14:textId="77777777" w:rsidR="007B561F" w:rsidRDefault="007B5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056F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94361"/>
    <w:rsid w:val="007A4E5D"/>
    <w:rsid w:val="007A558C"/>
    <w:rsid w:val="007A601D"/>
    <w:rsid w:val="007B1D32"/>
    <w:rsid w:val="007B2834"/>
    <w:rsid w:val="007B561F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3A47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5717F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43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B7026-B8CD-4740-A79E-F1D28780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2018-11-14T13:56:00Z</dcterms:modified>
</cp:coreProperties>
</file>