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C1ABB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afterLines="50" w:line="560" w:lineRule="exact"/>
        <w:jc w:val="center"/>
        <w:textAlignment w:val="auto"/>
        <w:rPr>
          <w:rFonts w:hint="eastAsia" w:ascii="方正小标宋简体" w:hAnsi="华文细黑" w:eastAsia="方正小标宋简体" w:cs="宋体"/>
          <w:color w:val="000000"/>
          <w:kern w:val="0"/>
          <w:sz w:val="44"/>
          <w:szCs w:val="44"/>
          <w:lang w:eastAsia="zh-CN"/>
        </w:rPr>
      </w:pPr>
      <w:r>
        <w:rPr>
          <w:rFonts w:hint="eastAsia" w:ascii="方正小标宋简体" w:hAnsi="华文细黑" w:eastAsia="方正小标宋简体" w:cs="宋体"/>
          <w:color w:val="000000"/>
          <w:kern w:val="0"/>
          <w:sz w:val="44"/>
          <w:szCs w:val="44"/>
          <w:lang w:eastAsia="zh-CN"/>
        </w:rPr>
        <w:t>北京市知识产权保护中心（北京代办处）</w:t>
      </w:r>
    </w:p>
    <w:p w14:paraId="31F593BE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spacing w:afterLines="50" w:line="560" w:lineRule="exact"/>
        <w:jc w:val="center"/>
        <w:textAlignment w:val="auto"/>
        <w:rPr>
          <w:rFonts w:hint="eastAsia" w:ascii="方正小标宋简体" w:hAnsi="华文细黑" w:eastAsia="方正小标宋简体" w:cs="宋体"/>
          <w:color w:val="000000"/>
          <w:kern w:val="0"/>
          <w:sz w:val="44"/>
          <w:szCs w:val="44"/>
          <w:lang w:eastAsia="zh-CN"/>
        </w:rPr>
      </w:pPr>
      <w:r>
        <w:rPr>
          <w:rFonts w:hint="eastAsia" w:ascii="方正小标宋简体" w:hAnsi="华文细黑" w:eastAsia="方正小标宋简体" w:cs="宋体"/>
          <w:color w:val="000000"/>
          <w:kern w:val="0"/>
          <w:sz w:val="44"/>
          <w:szCs w:val="44"/>
          <w:lang w:eastAsia="zh-CN"/>
        </w:rPr>
        <w:t>专利申请预审请求推荐函</w:t>
      </w:r>
    </w:p>
    <w:tbl>
      <w:tblPr>
        <w:tblStyle w:val="5"/>
        <w:tblW w:w="9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033"/>
        <w:gridCol w:w="2084"/>
        <w:gridCol w:w="2496"/>
      </w:tblGrid>
      <w:tr w14:paraId="5C8CB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2000" w:type="dxa"/>
            <w:vAlign w:val="center"/>
          </w:tcPr>
          <w:p w14:paraId="2BAD17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  <w:t>发明名称</w:t>
            </w:r>
          </w:p>
        </w:tc>
        <w:tc>
          <w:tcPr>
            <w:tcW w:w="7613" w:type="dxa"/>
            <w:gridSpan w:val="3"/>
            <w:vAlign w:val="center"/>
          </w:tcPr>
          <w:p w14:paraId="02B0CE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ind w:firstLine="560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基于动态因果图与大模型协同的数据根因分析系统及方法</w:t>
            </w:r>
          </w:p>
        </w:tc>
      </w:tr>
      <w:tr w14:paraId="18A1E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2000" w:type="dxa"/>
            <w:vAlign w:val="center"/>
          </w:tcPr>
          <w:p w14:paraId="6F920C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  <w:t>第一申请人</w:t>
            </w:r>
          </w:p>
        </w:tc>
        <w:tc>
          <w:tcPr>
            <w:tcW w:w="3033" w:type="dxa"/>
            <w:vAlign w:val="center"/>
          </w:tcPr>
          <w:p w14:paraId="6EBC06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  <w:t>王飞</w:t>
            </w:r>
          </w:p>
        </w:tc>
        <w:tc>
          <w:tcPr>
            <w:tcW w:w="2084" w:type="dxa"/>
            <w:vAlign w:val="center"/>
          </w:tcPr>
          <w:p w14:paraId="0BBE1C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  <w:t>专利代理机构</w:t>
            </w:r>
          </w:p>
        </w:tc>
        <w:tc>
          <w:tcPr>
            <w:tcW w:w="2496" w:type="dxa"/>
            <w:vAlign w:val="center"/>
          </w:tcPr>
          <w:p w14:paraId="0B3061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034FD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2000" w:type="dxa"/>
            <w:shd w:val="clear" w:color="auto" w:fill="auto"/>
            <w:vAlign w:val="center"/>
          </w:tcPr>
          <w:p w14:paraId="12D8C9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val="en-US" w:eastAsia="zh-CN"/>
              </w:rPr>
              <w:t>涉及关键核心技术攻关</w:t>
            </w:r>
          </w:p>
        </w:tc>
        <w:tc>
          <w:tcPr>
            <w:tcW w:w="3033" w:type="dxa"/>
            <w:shd w:val="clear" w:color="auto" w:fill="auto"/>
            <w:vAlign w:val="center"/>
          </w:tcPr>
          <w:p w14:paraId="08CC6F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是，具体为：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1. 动态因果图构建技术：通过在传统数据血缘图中注入时序信息和因果强度权重，构建能够适应动态数据环境的因果图谱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2. 大模型协同推理技术：将大语言模型引入根因分析领域，实现智能假设生成和协同验证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3. 智能根因分析算法：设计"假设-验证"闭环机制，结合反事实验证提升分析准确性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4. 多源异构数据因果关系量化：解决传统静态血缘图无法量化因果关系的技术难题</w:t>
            </w:r>
          </w:p>
        </w:tc>
        <w:tc>
          <w:tcPr>
            <w:tcW w:w="2084" w:type="dxa"/>
            <w:shd w:val="clear" w:color="auto" w:fill="auto"/>
            <w:vAlign w:val="center"/>
          </w:tcPr>
          <w:p w14:paraId="77317D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val="en-US" w:eastAsia="zh-CN"/>
              </w:rPr>
              <w:t>涉及重大科技项目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78032C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val="en-US" w:eastAsia="zh-CN"/>
              </w:rPr>
              <w:t>否</w:t>
            </w:r>
          </w:p>
        </w:tc>
      </w:tr>
      <w:tr w14:paraId="79D5C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2000" w:type="dxa"/>
            <w:shd w:val="clear" w:color="auto" w:fill="auto"/>
            <w:vAlign w:val="center"/>
          </w:tcPr>
          <w:p w14:paraId="152D62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  <w:t>发明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</w:rPr>
              <w:t>人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  <w:t>基本情况</w:t>
            </w:r>
          </w:p>
        </w:tc>
        <w:tc>
          <w:tcPr>
            <w:tcW w:w="7613" w:type="dxa"/>
            <w:gridSpan w:val="3"/>
            <w:shd w:val="clear" w:color="auto" w:fill="auto"/>
            <w:vAlign w:val="center"/>
          </w:tcPr>
          <w:p w14:paraId="1923EB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王飞，滴普科技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shd w:val="clear" w:color="auto" w:fill="FFFFFF"/>
                <w:lang w:val="en-US" w:eastAsia="zh-CN"/>
              </w:rPr>
              <w:t>开发维护部负责人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，具有：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- 10年以上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shd w:val="clear" w:color="auto" w:fill="FFFFFF"/>
                <w:lang w:val="en-US" w:eastAsia="zh-CN"/>
              </w:rPr>
              <w:t>架构设计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研发经验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- 专精于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shd w:val="clear" w:color="auto" w:fill="FFFFFF"/>
                <w:lang w:val="en-US" w:eastAsia="zh-CN"/>
              </w:rPr>
              <w:t>大数据分析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等技术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- 主导过多个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shd w:val="clear" w:color="auto" w:fill="FFFFFF"/>
                <w:lang w:val="en-US" w:eastAsia="zh-CN"/>
              </w:rPr>
              <w:t>大数据平台建设项目</w:t>
            </w:r>
          </w:p>
          <w:p w14:paraId="3B1010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default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- 申请发明专利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shd w:val="clear" w:color="auto" w:fill="FFFFFF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项</w:t>
            </w:r>
          </w:p>
        </w:tc>
      </w:tr>
      <w:tr w14:paraId="1FB47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9" w:hRule="atLeast"/>
          <w:jc w:val="center"/>
        </w:trPr>
        <w:tc>
          <w:tcPr>
            <w:tcW w:w="2000" w:type="dxa"/>
            <w:shd w:val="clear" w:color="auto" w:fill="auto"/>
            <w:vAlign w:val="center"/>
          </w:tcPr>
          <w:p w14:paraId="3D841C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  <w:t>专利申请转化运用前景及产学研合作情况</w:t>
            </w:r>
          </w:p>
        </w:tc>
        <w:tc>
          <w:tcPr>
            <w:tcW w:w="7613" w:type="dxa"/>
            <w:gridSpan w:val="3"/>
            <w:shd w:val="clear" w:color="auto" w:fill="auto"/>
            <w:vAlign w:val="center"/>
          </w:tcPr>
          <w:p w14:paraId="36EE46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eastAsia="zh-CN"/>
              </w:rPr>
              <w:t>（可另附页）</w:t>
            </w:r>
          </w:p>
          <w:p w14:paraId="040F24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产业化前景：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1. 市场需求旺盛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shd w:val="clear" w:color="auto" w:fill="FFFFFF"/>
                <w:lang w:eastAsia="zh-CN"/>
              </w:rPr>
              <w:t>，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shd w:val="clear" w:color="auto" w:fill="FFFFFF"/>
                <w:lang w:val="en-US" w:eastAsia="zh-CN"/>
              </w:rPr>
              <w:t>企业对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数据根因分析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shd w:val="clear" w:color="auto" w:fill="FFFFFF"/>
                <w:lang w:val="en-US" w:eastAsia="zh-CN"/>
              </w:rPr>
              <w:t>有强烈的需求。</w:t>
            </w:r>
          </w:p>
          <w:p w14:paraId="3120FCB6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Times New Roman" w:hAnsi="Times New Roman" w:eastAsia="宋体" w:cs="Times New Roman"/>
                <w:sz w:val="28"/>
                <w:szCs w:val="28"/>
                <w:shd w:val="clear" w:color="auto" w:fill="FFFFFF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技术优势显著：相比传统方法，分析准确率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shd w:val="clear" w:color="auto" w:fill="FFFFFF"/>
                <w:lang w:val="en-US" w:eastAsia="zh-CN"/>
              </w:rPr>
              <w:t>和效率优势明显。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  <w:shd w:val="clear" w:color="auto" w:fill="FFFFFF"/>
              </w:rPr>
              <w:t>3. 应用场景广泛：适用于金融风控、工业制造、互联网运维、智慧城市等多个领域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shd w:val="clear" w:color="auto" w:fill="FFFFFF"/>
                <w:lang w:eastAsia="zh-CN"/>
              </w:rPr>
              <w:t>。</w:t>
            </w:r>
          </w:p>
          <w:p w14:paraId="7B91F5CF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eastAsia" w:ascii="Times New Roman" w:hAnsi="Times New Roman" w:eastAsia="宋体" w:cs="Times New Roman"/>
                <w:sz w:val="28"/>
                <w:szCs w:val="28"/>
                <w:shd w:val="clear" w:color="auto" w:fill="FFFFFF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  <w:t>产学研合作：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4D4D4"/>
                <w:spacing w:val="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  <w:t xml:space="preserve">1. 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  <w:t>联合南方科技大学成立「“Data+AI”数据智能实验室」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  <w:t>. 与华为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  <w:t>合作，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  <w:t>推出了大模型算力服务器一体机Fast5000E系列</w:t>
            </w:r>
          </w:p>
          <w:p w14:paraId="416254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eastAsia="zh-CN"/>
              </w:rPr>
            </w:pPr>
          </w:p>
          <w:p w14:paraId="615C02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eastAsia="zh-CN"/>
              </w:rPr>
            </w:pPr>
          </w:p>
          <w:p w14:paraId="44BBFE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eastAsia="zh-CN"/>
              </w:rPr>
            </w:pPr>
          </w:p>
          <w:p w14:paraId="49BACB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left"/>
              <w:textAlignment w:val="auto"/>
              <w:rPr>
                <w:rFonts w:hint="eastAsia" w:ascii="仿宋_GB2312" w:hAnsi="宋体" w:eastAsia="仿宋_GB2312" w:cs="宋体"/>
                <w:i/>
                <w:iCs/>
                <w:color w:val="000000"/>
                <w:kern w:val="0"/>
                <w:sz w:val="28"/>
                <w:szCs w:val="28"/>
                <w:lang w:eastAsia="zh-CN"/>
              </w:rPr>
            </w:pPr>
          </w:p>
        </w:tc>
      </w:tr>
      <w:tr w14:paraId="1A737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  <w:jc w:val="center"/>
        </w:trPr>
        <w:tc>
          <w:tcPr>
            <w:tcW w:w="2000" w:type="dxa"/>
            <w:vAlign w:val="center"/>
          </w:tcPr>
          <w:p w14:paraId="53CA8C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  <w:t>内部知识产权管理部门推荐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val="en-US" w:eastAsia="zh-CN"/>
              </w:rPr>
              <w:t>意见</w:t>
            </w:r>
          </w:p>
        </w:tc>
        <w:tc>
          <w:tcPr>
            <w:tcW w:w="7613" w:type="dxa"/>
            <w:gridSpan w:val="3"/>
            <w:vAlign w:val="center"/>
          </w:tcPr>
          <w:p w14:paraId="635354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</w:p>
          <w:p w14:paraId="68571B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</w:p>
          <w:p w14:paraId="51E272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  <w:t>负责人签字：</w:t>
            </w:r>
          </w:p>
        </w:tc>
      </w:tr>
      <w:tr w14:paraId="1AC50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5" w:hRule="atLeast"/>
          <w:jc w:val="center"/>
        </w:trPr>
        <w:tc>
          <w:tcPr>
            <w:tcW w:w="2000" w:type="dxa"/>
            <w:vAlign w:val="center"/>
          </w:tcPr>
          <w:p w14:paraId="20956A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ascii="黑体" w:hAns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  <w:t>第一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</w:rPr>
              <w:t>申请人</w:t>
            </w:r>
          </w:p>
          <w:p w14:paraId="0CAE61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ascii="黑体" w:hAns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  <w:lang w:eastAsia="zh-CN"/>
              </w:rPr>
              <w:t>单位</w:t>
            </w: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</w:rPr>
              <w:t>签章</w:t>
            </w:r>
          </w:p>
        </w:tc>
        <w:tc>
          <w:tcPr>
            <w:tcW w:w="7613" w:type="dxa"/>
            <w:gridSpan w:val="3"/>
            <w:vAlign w:val="center"/>
          </w:tcPr>
          <w:p w14:paraId="1D4969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</w:p>
          <w:p w14:paraId="2133A5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</w:p>
          <w:p w14:paraId="555251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center"/>
              <w:textAlignment w:val="auto"/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  <w:lang w:val="en-US" w:eastAsia="zh-CN"/>
              </w:rPr>
              <w:t xml:space="preserve">                             （第一申请人单位公章）</w:t>
            </w:r>
          </w:p>
          <w:p w14:paraId="0E1225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spacing w:line="560" w:lineRule="exact"/>
              <w:jc w:val="right"/>
              <w:textAlignment w:val="auto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 xml:space="preserve">       年     月     日</w:t>
            </w:r>
          </w:p>
        </w:tc>
      </w:tr>
    </w:tbl>
    <w:p w14:paraId="1F21A82E"/>
    <w:sectPr>
      <w:headerReference r:id="rId3" w:type="default"/>
      <w:footerReference r:id="rId4" w:type="default"/>
      <w:pgSz w:w="11906" w:h="16838"/>
      <w:pgMar w:top="2098" w:right="1587" w:bottom="1984" w:left="1587" w:header="851" w:footer="141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0F05F">
    <w:pPr>
      <w:pStyle w:val="3"/>
      <w:spacing w:after="120"/>
      <w:rPr>
        <w:sz w:val="28"/>
        <w:szCs w:val="2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79955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2C75A"/>
    <w:multiLevelType w:val="singleLevel"/>
    <w:tmpl w:val="8122C75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5MjMwM2U4ZWEzZGZkODg0YTIwNWQzZDJjOTRkYjYifQ=="/>
  </w:docVars>
  <w:rsids>
    <w:rsidRoot w:val="4D5A4AD9"/>
    <w:rsid w:val="02496FD5"/>
    <w:rsid w:val="08CC4A1B"/>
    <w:rsid w:val="0A887557"/>
    <w:rsid w:val="0C4076B9"/>
    <w:rsid w:val="0CC60CAC"/>
    <w:rsid w:val="0EF32D02"/>
    <w:rsid w:val="14226B92"/>
    <w:rsid w:val="14FC21BA"/>
    <w:rsid w:val="155A341C"/>
    <w:rsid w:val="19AF3CC9"/>
    <w:rsid w:val="1B494A13"/>
    <w:rsid w:val="1F446C62"/>
    <w:rsid w:val="23203542"/>
    <w:rsid w:val="236B2A0F"/>
    <w:rsid w:val="244B2840"/>
    <w:rsid w:val="24ED38F7"/>
    <w:rsid w:val="28133675"/>
    <w:rsid w:val="295B1778"/>
    <w:rsid w:val="29C916E9"/>
    <w:rsid w:val="2B7D7783"/>
    <w:rsid w:val="2C63053E"/>
    <w:rsid w:val="303C1183"/>
    <w:rsid w:val="332E3A59"/>
    <w:rsid w:val="33DB01A7"/>
    <w:rsid w:val="34750A00"/>
    <w:rsid w:val="35C30488"/>
    <w:rsid w:val="36427956"/>
    <w:rsid w:val="384B43DE"/>
    <w:rsid w:val="388F730C"/>
    <w:rsid w:val="3A8601A8"/>
    <w:rsid w:val="3AA06FEA"/>
    <w:rsid w:val="3C2B6D87"/>
    <w:rsid w:val="3D7D0497"/>
    <w:rsid w:val="3F82047F"/>
    <w:rsid w:val="457D7A9E"/>
    <w:rsid w:val="48357205"/>
    <w:rsid w:val="48741FAD"/>
    <w:rsid w:val="4B414FEF"/>
    <w:rsid w:val="4B714B60"/>
    <w:rsid w:val="4BAD1567"/>
    <w:rsid w:val="4D5A4AD9"/>
    <w:rsid w:val="501F0559"/>
    <w:rsid w:val="51FC4FF6"/>
    <w:rsid w:val="53D8739D"/>
    <w:rsid w:val="54C33BA9"/>
    <w:rsid w:val="55FB1553"/>
    <w:rsid w:val="56472027"/>
    <w:rsid w:val="59044790"/>
    <w:rsid w:val="5BD668B8"/>
    <w:rsid w:val="5C2A6C04"/>
    <w:rsid w:val="5C95407D"/>
    <w:rsid w:val="5E1D7B0C"/>
    <w:rsid w:val="614C328B"/>
    <w:rsid w:val="62B81B10"/>
    <w:rsid w:val="63312626"/>
    <w:rsid w:val="648844C8"/>
    <w:rsid w:val="664464EF"/>
    <w:rsid w:val="67424E02"/>
    <w:rsid w:val="699B7653"/>
    <w:rsid w:val="6C60796C"/>
    <w:rsid w:val="6C6E48EB"/>
    <w:rsid w:val="6CEC0FC7"/>
    <w:rsid w:val="6D77141C"/>
    <w:rsid w:val="6DAF2C53"/>
    <w:rsid w:val="6DE035C6"/>
    <w:rsid w:val="6E48722A"/>
    <w:rsid w:val="703D1F77"/>
    <w:rsid w:val="717C53B4"/>
    <w:rsid w:val="731D6723"/>
    <w:rsid w:val="735D2FC3"/>
    <w:rsid w:val="764A782F"/>
    <w:rsid w:val="78C86828"/>
    <w:rsid w:val="793A0C26"/>
    <w:rsid w:val="7BAB0D70"/>
    <w:rsid w:val="7C963CBA"/>
    <w:rsid w:val="7D7B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553</Words>
  <Characters>578</Characters>
  <Lines>0</Lines>
  <Paragraphs>0</Paragraphs>
  <TotalTime>1632</TotalTime>
  <ScaleCrop>false</ScaleCrop>
  <LinksUpToDate>false</LinksUpToDate>
  <CharactersWithSpaces>636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2024-02-22T08:05:00Z</dcterms:created>
  <dc:creator>高烨</dc:creator>
  <cp:lastModifiedBy>wangf</cp:lastModifiedBy>
  <cp:lastPrinted>2025-05-08T03:06:00Z</cp:lastPrinted>
  <dcterms:modified xsi:type="dcterms:W3CDTF">2025-07-14T09:13:27Z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6A0E82ABE8864E32B5CEA24902E0F726_13</vt:lpwstr>
  </property>
  <property fmtid="{D5CDD505-2E9C-101B-9397-08002B2CF9AE}" pid="4" name="KSOTemplateDocerSaveRecord">
    <vt:lpwstr>eyJoZGlkIjoiMDg5ZDhkNjI5MGVhOTI0MGZjMzEyNDFkNjYxMjZhZjEifQ==</vt:lpwstr>
  </property>
</Properties>
</file>