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  <w:jc w:val="center"/>
      </w:pPr>
      <w:r>
        <w:rPr>
          <w:rFonts w:ascii="仿宋_GB2312" w:cs="仿宋_GB2312" w:eastAsia="仿宋_GB2312" w:hAnsi="仿宋_GB2312"/>
          <w:b/>
          <w:bCs/>
          <w:sz w:val="32"/>
          <w:szCs w:val="32"/>
        </w:rPr>
        <w:t xml:space="preserve">月度质量检测汇总报告</w:t>
      </w:r>
    </w:p>
    <w:p>
      <w:pPr>
        <w:spacing w:before="0" w:after="120"/>
        <w:jc w:val="center"/>
      </w:pPr>
      <w:r>
        <w:t>{{ check_date }}  {{ project_name }}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301"/>
        <w:gridCol w:w="2301"/>
        <w:gridCol w:w="2303"/>
      </w:tblGrid>
      <w:tr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本月检测总数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合格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观察</w:t>
            </w:r>
          </w:p>
        </w:tc>
        <w:tc>
          <w:tcPr>
            <w:tcW w:type="dxa" w:w="2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total_count }}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pass_count }}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fail_count }}</w:t>
            </w:r>
          </w:p>
        </w:tc>
        <w:tc>
          <w:tcPr>
            <w:tcW w:type="dxa" w:w="2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fail_count }}</w:t>
            </w:r>
          </w:p>
        </w:tc>
      </w:tr>
      <w:tr>
        <w:tc>
          <w:tcPr>
            <w:tcW w:type="dxa" w:w="2301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综合合格率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summary_result_cn }}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project_uri }}</w:t>
            </w:r>
          </w:p>
        </w:tc>
        <w:tc>
          <w:tcPr>
            <w:tcW w:type="dxa" w:w="2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仿宋_GB2312" w:cs="仿宋_GB2312" w:eastAsia="仿宋_GB2312" w:hAnsi="仿宋_GB2312"/>
                <w:b w:val="false"/>
                <w:bCs w:val="false"/>
                <w:color w:val="000000"/>
                <w:sz w:val="16"/>
                <w:szCs w:val="16"/>
              </w:rPr>
              <w:t xml:space="preserve">v://cn.zhongbei/highway/成峨高速/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80" w:after="40"/>
      </w:pPr>
      <w:r>
        <w:t>Proof UTXO ?? {{ qr_image }}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6"/>
        <w:gridCol w:w="1200"/>
        <w:gridCol w:w="900"/>
        <w:gridCol w:w="900"/>
        <w:gridCol w:w="900"/>
        <w:gridCol w:w="1300"/>
        <w:gridCol w:w="16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序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分段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检测项目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总数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合格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不合格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合格率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计量状态</w:t>
            </w:r>
          </w:p>
        </w:tc>
      </w:tr>
      <w:tr>
        <w:tc>
          <w:tcPr>
            <w:tcW w:type="dxa" w:w="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</w:t>
            </w:r>
          </w:p>
        </w:tc>
        <w:tc>
          <w:tcPr>
            <w:tcW w:type="dxa" w:w="200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stake_range }}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items.main_rebar.type_name }}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total_count }}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pass_count }}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fail_count }}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summary_result_cn }}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gitpeg_anchor }}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497D" w:sz="6" w:space="1"/>
        </w:pBdr>
        <w:spacing w:before="80" w:after="80"/>
      </w:pPr>
    </w:p>
    <w:p>
      <w:pPr>
        <w:spacing w:before="80" w:after="40"/>
      </w:pPr>
      <w:r>
        <w:rPr>
          <w:rFonts w:ascii="仿宋_GB2312" w:cs="仿宋_GB2312" w:eastAsia="仿宋_GB2312" w:hAnsi="仿宋_GB2312"/>
          <w:b/>
          <w:bCs/>
          <w:color w:val="1F497D"/>
          <w:sz w:val="22"/>
          <w:szCs w:val="22"/>
        </w:rPr>
        <w:t xml:space="preserve">Proof UTXO 状态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1"/>
        <w:gridCol w:w="2301"/>
        <w:gridCol w:w="2301"/>
        <w:gridCol w:w="2303"/>
      </w:tblGrid>
      <w:tr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本月生成Proof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已消费（状态转移）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未消费（当前状态）</w:t>
            </w:r>
          </w:p>
        </w:tc>
        <w:tc>
          <w:tcPr>
            <w:tcW w:type="dxa" w:w="2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GitPeg锚定</w:t>
            </w:r>
          </w:p>
        </w:tc>
      </w:tr>
      <w:tr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total_count }}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0</w:t>
            </w:r>
          </w:p>
        </w:tc>
        <w:tc>
          <w:tcPr>
            <w:tcW w:type="dxa" w:w="2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total_count }}</w:t>
            </w:r>
          </w:p>
        </w:tc>
        <w:tc>
          <w:tcPr>
            <w:tcW w:type="dxa" w:w="2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gitpeg_anchor }}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497D" w:sz="6" w:space="1"/>
        </w:pBdr>
        <w:spacing w:before="80" w:after="80"/>
      </w:pP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3069"/>
        <w:gridCol w:w="3069"/>
      </w:tblGrid>
      <w:tr>
        <w:tc>
          <w:tcPr>
            <w:tcW w:type="dxa" w:w="3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编制</w:t>
            </w:r>
          </w:p>
        </w:tc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3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inspector }}</w:t>
            </w:r>
          </w:p>
        </w:tc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tech_leader }}</w:t>
            </w:r>
          </w:p>
        </w:tc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check_date }}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4" w:space="1"/>
      </w:pBdr>
      <w:tabs>
        <w:tab w:val="center" w:pos="4680"/>
        <w:tab w:val="right" w:pos="9026"/>
      </w:tabs>
      <w:spacing w:before="60"/>
      <w:jc w:val="lef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/>
    </w:r>
    <w:r>
      <w:rPr>
        <w:sz w:val="16"/>
        <w:szCs w:val="16"/>
      </w:rPr>
      <w:t xml:space="preserve"/>
    </w:r>
    <w:r>
      <w:rPr>
        <w:sz w:val="16"/>
        <w:szCs w:val="16"/>
      </w:rPr>
      <w:tab/>
    </w:r>
    <w:r>
      <w:rPr>
        <w:sz w:val="16"/>
        <w:szCs w:val="16"/>
      </w:rPr>
      <w:t xml:space="preserve"/>
    </w: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第 </w:t>
    </w:r>
    <w:pgNum/>
    <w:r>
      <w:rPr>
        <w:rFonts w:ascii="仿宋_GB2312" w:cs="仿宋_GB2312" w:eastAsia="仿宋_GB2312" w:hAnsi="仿宋_GB2312"/>
        <w:color w:val="595959"/>
        <w:sz w:val="18"/>
        <w:szCs w:val="18"/>
      </w:rPr>
      <w:t xml:space="preserve"> 页</w:t>
    </w:r>
    <w:r>
      <w:rPr>
        <w:sz w:val="16"/>
        <w:szCs w:val="16"/>
      </w:rPr>
      <w:t xml:space="preserve"/>
    </w:r>
    <w:r>
      <w:rPr>
        <w:sz w:val="16"/>
        <w:szCs w:val="16"/>
      </w:rPr>
      <w:tab/>
    </w:r>
    <w:r>
      <w:rPr>
        <w:sz w:val="16"/>
        <w:szCs w:val="16"/>
      </w:rPr>
      <w:t xml:space="preserve"/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v:// v://cn.zhongbei/highway/成峨高速/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1"/>
      </w:pBdr>
      <w:tabs>
        <w:tab w:val="right" w:pos="9026"/>
      </w:tabs>
      <w:spacing w:after="60"/>
      <w:jc w:val="left"/>
    </w:pP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月度质检汇总报告</w:t>
    </w:r>
    <w:r>
      <w:rPr>
        <w:rFonts w:ascii="仿宋_GB2312" w:cs="仿宋_GB2312" w:eastAsia="仿宋_GB2312" w:hAnsi="仿宋_GB2312"/>
        <w:sz w:val="18"/>
        <w:szCs w:val="18"/>
      </w:rPr>
      <w:t xml:space="preserve"/>
    </w:r>
    <w:r>
      <w:rPr>
        <w:rFonts w:ascii="仿宋_GB2312" w:cs="仿宋_GB2312" w:eastAsia="仿宋_GB2312" w:hAnsi="仿宋_GB2312"/>
        <w:sz w:val="18"/>
        <w:szCs w:val="18"/>
      </w:rPr>
      <w:tab/>
    </w:r>
    <w:r>
      <w:rPr>
        <w:rFonts w:ascii="仿宋_GB2312" w:cs="仿宋_GB2312" w:eastAsia="仿宋_GB2312" w:hAnsi="仿宋_GB2312"/>
        <w:sz w:val="18"/>
        <w:szCs w:val="18"/>
      </w:rPr>
      <w:t xml:space="preserve"/>
    </w:r>
    <w:r>
      <w:rPr>
        <w:rFonts w:ascii="仿宋_GB2312" w:cs="仿宋_GB2312" w:eastAsia="仿宋_GB2312" w:hAnsi="仿宋_GB2312"/>
        <w:color w:val="595959"/>
        <w:sz w:val="18"/>
        <w:szCs w:val="18"/>
      </w:rPr>
      <w:t xml:space="preserve">中北工程设计咨询有限公司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2026-03-25T00:25:22.279Z</dcterms:created>
  <dcterms:modified xsi:type="dcterms:W3CDTF">2026-03-25T00:25:22.279Z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