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1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155448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advies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4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€ 11.5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€ 13.65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€ 14.2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Relationship Id="rId30" Type="http://schemas.openxmlformats.org/officeDocument/2006/relationships/image" Target="media/image10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