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val="false"/>
        <w:jc w:val="left"/>
      </w:pPr>
      <w:r>
        <w:rPr>
          <w:b/>
          <w:bCs/>
        </w:rPr>
        <w:t xml:space="preserve">AIJUR answer</w:t>
      </w:r>
    </w:p>
    <w:p>
      <w:pPr>
        <w:bidi w:val="false"/>
        <w:jc w:val="left"/>
      </w:pPr>
      <w:r>
        <w:rPr>
          <w:i/>
          <w:iCs/>
          <w:color w:val="808080"/>
          <w:sz w:val="18"/>
          <w:szCs w:val="18"/>
        </w:rPr>
        <w:t xml:space="preserve">Generated: 2026-06-23</w:t>
      </w:r>
    </w:p>
    <w:p>
      <w:pPr>
        <w:bidi w:val="false"/>
        <w:jc w:val="left"/>
      </w:pPr>
      <w:r>
        <w:rPr>
          <w:b/>
          <w:bCs/>
        </w:rPr>
        <w:t xml:space="preserve">Question:</w:t>
      </w:r>
      <w:r>
        <w:t xml:space="preserve"> 🔎 Deep Legal Analysis — Case Analysis</w:t>
      </w:r>
    </w:p>
    <w:p/>
    <w:p>
      <w:pPr>
        <w:pStyle w:val="Heading2"/>
        <w:bidi w:val="false"/>
        <w:jc w:val="left"/>
      </w:pPr>
      <w:r>
        <w:rPr>
          <w:b/>
          <w:bCs/>
        </w:rPr>
        <w:t xml:space="preserve">١. الملخّص التنفيذي</w:t>
      </w:r>
    </w:p>
    <w:p>
      <w:pPr>
        <w:bidi w:val="false"/>
        <w:jc w:val="left"/>
      </w:pPr>
      <w:r>
        <w:t xml:space="preserve">المدعية لينا محمد نديم عباس تقيم دعوى أمام جانب مجلس العمل التحكيمي في الشمال بوجه منظمة Mercy-USA for Aid and Development، طالبة تعويض إنذار وتعويض صرف تعسفي، مع طلب إبلاغ الصندوق الوطني للضمان الاجتماعي. [مُثبَت — المستند: استحضار الدعوى، الفقرة الأولى/البيانات التعريفية]</w:t>
      </w:r>
    </w:p>
    <w:p>
      <w:pPr>
        <w:bidi w:val="false"/>
        <w:jc w:val="left"/>
      </w:pPr>
      <w:r>
        <w:t xml:space="preserve">جوهر النزاع يتمحور حول ما إذا كان عقد العمل قد تحوّل إلى عقد غير محدد المدة بسبب التجديد المتتالي منذ سنة 2022، وما إذا كان إنهاء العلاقة قد وقع بصورة تعسفية ومن دون إنذار مسبق، بما يبرر التعويضات المطالب بها. [مُثبَت — المستند: استحضار الدعوى، فقرة «في الواقعات» و«في الأساس»]</w:t>
      </w:r>
    </w:p>
    <w:p>
      <w:pPr>
        <w:bidi w:val="false"/>
        <w:jc w:val="left"/>
      </w:pPr>
      <w:r>
        <w:t xml:space="preserve">الموقف الأولي للمدعية قوي من حيث أصل الحق في المطالبة، لكنه يواجه ثغرات إثباتية مهمة، أبرزها غياب نسخة عقد العمل، وغياب البلاغ المؤرخ في 14/12/2023، وغياب أي مستند يثبت واقعة الصرف أو التوقيف أو عدم توجيه الإنذار. [دليل مفقود — يلزم مستند غير مرفق: نسخة عقد العمل، البلاغ المؤرخ 14/12/2023، ما يثبت الصرف أو التوقيف، وما يثبت عدم توجيه الإنذار]</w:t>
      </w:r>
    </w:p>
    <w:p>
      <w:pPr>
        <w:pStyle w:val="Heading2"/>
        <w:bidi w:val="false"/>
        <w:jc w:val="left"/>
      </w:pPr>
      <w:r>
        <w:rPr>
          <w:b/>
          <w:bCs/>
        </w:rPr>
        <w:t xml:space="preserve">٢. الوقائع</w:t>
      </w:r>
    </w:p>
    <w:p>
      <w:pPr>
        <w:bidi w:val="false"/>
        <w:jc w:val="left"/>
      </w:pPr>
      <w:r>
        <w:t xml:space="preserve">الثابت من الاستحضار أن المدعية تعمل لدى الجهة المدعى عليها منذ سنة 2022 براتب شهري قدره 1450 دولاراً أميركياً. [مُثبَت — المستند: استحضار الدعوى، فقرة «في الواقعات»]</w:t>
      </w:r>
    </w:p>
    <w:p>
      <w:pPr>
        <w:bidi w:val="false"/>
        <w:jc w:val="left"/>
      </w:pPr>
      <w:r>
        <w:t xml:space="preserve">الثابت أيضاً أن المدعية تشير إلى وجود عقد عمل مرفق كـ«مستند رقم 2»، إلا أن نسخة هذا العقد غير مرفقة ضمن الملف المعروض. [مُثبَت — المستند: استحضار الدعوى، فقرة «في الواقعات»؛ [دليل مفقود — يلزم مستند غير مرفق: نسخة عقد العمل المشار إليها كمستند رقم 2]]</w:t>
      </w:r>
    </w:p>
    <w:p>
      <w:pPr>
        <w:bidi w:val="false"/>
        <w:jc w:val="left"/>
      </w:pPr>
      <w:r>
        <w:t xml:space="preserve">كما يرد في الاستحضار أن الشركة جددت العقد لأكثر من سنتين، وأن مدة العقد كانت تنتهي في 1/1/2024، ثم أُرسل بلاغ في 14/12/2023 بتمديد المدة إلى 29/2/2024 وتوقيف المدعية عن العمل عقب هذا التاريخ. [مُثبَت — المستند: استحضار الدعوى، فقرة «في الواقعات»]</w:t>
      </w:r>
    </w:p>
    <w:p>
      <w:pPr>
        <w:bidi w:val="false"/>
        <w:jc w:val="left"/>
      </w:pPr>
      <w:r>
        <w:t xml:space="preserve">ويذكر الاستحضار أن العقد كان ينتهي في 1/1/2024 ثم جرى تمديده إلى 29/2/2024. [مُثبَت — المستند: استحضار الدعوى، فقرة «في الواقعات»]</w:t>
      </w:r>
    </w:p>
    <w:p>
      <w:pPr>
        <w:bidi w:val="false"/>
        <w:jc w:val="left"/>
      </w:pPr>
      <w:r>
        <w:t xml:space="preserve">كما يقرر أن المدعية لم يُوجَّه لها إنذار بالرغم من اشتراط ذلك في بنود العقد. [مُثبَت — المستند: استحضار الدعوى، فقرة «في الواقعات»؛ [دليل مفقود — يلزم مستند غير مرفق: ما يثبت شرط الإنذار في العقد أو ما يثبت عدم توجيه إنذار]]</w:t>
      </w:r>
    </w:p>
    <w:p>
      <w:pPr>
        <w:bidi w:val="false"/>
        <w:jc w:val="left"/>
      </w:pPr>
      <w:r>
        <w:t xml:space="preserve">الاستحضار يطلب تعويض صرف تعسفي مقداره 17,400 دولار أميركي، وتعويض إنذار مقداره 1,450 دولاراً أميركياً، أي مجموع 18,850 دولاراً أميركياً. [مُثبَت — المستند: استحضار الدعوى، فقرة الطلبات والاحتساب]</w:t>
      </w:r>
    </w:p>
    <w:p>
      <w:pPr>
        <w:pStyle w:val="Heading2"/>
        <w:bidi w:val="false"/>
        <w:jc w:val="left"/>
      </w:pPr>
      <w:r>
        <w:rPr>
          <w:b/>
          <w:bCs/>
        </w:rPr>
        <w:t xml:space="preserve">٣. التسلسل الزمني</w:t>
      </w:r>
    </w:p>
    <w:p>
      <w:pPr>
        <w:pStyle w:val="ListParagraph"/>
        <w:numPr>
          <w:ilvl w:val="0"/>
          <w:numId w:val="1"/>
        </w:numPr>
        <w:bidi w:val="false"/>
        <w:jc w:val="left"/>
      </w:pPr>
      <w:r>
        <w:t xml:space="preserve">سنة 2022: بدء عمل المدعية لدى الجهة المدعى عليها. [مُثبَت — المستند: استحضار الدعوى، فقرة «في الواقعات»]</w:t>
      </w:r>
    </w:p>
    <w:p>
      <w:pPr>
        <w:pStyle w:val="ListParagraph"/>
        <w:numPr>
          <w:ilvl w:val="0"/>
          <w:numId w:val="1"/>
        </w:numPr>
        <w:bidi w:val="false"/>
        <w:jc w:val="left"/>
      </w:pPr>
      <w:r>
        <w:t xml:space="preserve">1/1/2024: التاريخ المذكور لانتهاء مدة العقد. [مُثبَت — المستند: استحضار الدعوى، فقرة «في الواقعات»]</w:t>
      </w:r>
    </w:p>
    <w:p>
      <w:pPr>
        <w:pStyle w:val="ListParagraph"/>
        <w:numPr>
          <w:ilvl w:val="0"/>
          <w:numId w:val="1"/>
        </w:numPr>
        <w:bidi w:val="false"/>
        <w:jc w:val="left"/>
      </w:pPr>
      <w:r>
        <w:t xml:space="preserve">14/12/2023: إرسال بلاغ بتمديد المدة إلى 29/2/2024 وتوقيف المدعية عن العمل عقب هذا التاريخ. [مُثبَت — المستند: استحضار الدعوى، فقرة «في الواقعات»؛ [دليل مفقود — يلزم مستند غير مرفق: البلاغ المؤرخ 14/12/2023]]</w:t>
      </w:r>
    </w:p>
    <w:p>
      <w:pPr>
        <w:pStyle w:val="ListParagraph"/>
        <w:numPr>
          <w:ilvl w:val="0"/>
          <w:numId w:val="1"/>
        </w:numPr>
        <w:bidi w:val="false"/>
        <w:jc w:val="left"/>
      </w:pPr>
      <w:r>
        <w:t xml:space="preserve">29/2/2024: التاريخ المذكور لانتهاء التمديد. [مُثبَت — المستند: استحضار الدعوى، فقرة «في الواقعات»]</w:t>
      </w:r>
    </w:p>
    <w:p>
      <w:pPr>
        <w:pStyle w:val="Heading2"/>
        <w:bidi w:val="false"/>
        <w:jc w:val="left"/>
      </w:pPr>
      <w:r>
        <w:rPr>
          <w:b/>
          <w:bCs/>
        </w:rPr>
        <w:t xml:space="preserve">٤. المسائل القانونية</w:t>
      </w:r>
    </w:p>
    <w:p>
      <w:pPr>
        <w:bidi w:val="false"/>
        <w:jc w:val="left"/>
      </w:pPr>
      <w:r>
        <w:t xml:space="preserve">1. هل ينعقد اختصاص مجلس العمل التحكيمي في الشمال مكانياً ووظيفياً للنظر في الدعوى؟ [مُثبَت — المستند: استحضار الدعوى، فقرة «في الشكل»]</w:t>
      </w:r>
      <w:r>
        <w:br/>
        <w:t xml:space="preserve">2. هل تحوّل عقد العمل من عقد محدد المدة إلى عقد غير محدد المدة بسبب التجديد المتتالي والاستمرار لأكثر من سنتين؟ [مُثبَت — المستند: استحضار الدعوى، فقرة «في الأساس»]</w:t>
      </w:r>
      <w:r>
        <w:br/>
        <w:t xml:space="preserve">3. هل يشكل إنهاء العلاقة، وفق الوقائع المدعاة، صرفاً تعسفياً بالمعنى القانوني؟ [مُثبَت — المستند: استحضار الدعوى، فقرة «في الأساس»]</w:t>
      </w:r>
      <w:r>
        <w:br/>
        <w:t xml:space="preserve">4. هل تستحق المدعية تعويض صرف تعسفي، وكيف يُحتسب؟ [مُثبَت — المستند: استحضار الدعوى، فقرة «في الأساس»]</w:t>
      </w:r>
      <w:r>
        <w:br/>
        <w:t xml:space="preserve">5. هل تستحق تعويض إنذار لعدم توجيه إنذار مسبق؟ [مُثبَت — المستند: استحضار الدعوى، فقرة «في الأساس»]</w:t>
      </w:r>
      <w:r>
        <w:br/>
        <w:t xml:space="preserve">6. ما مدى وجاهة إدخال الصندوق الوطني للضمان الاجتماعي في الخصومة؟ [مُثبَت — المستند: استحضار الدعوى، الطلب الثالث]</w:t>
      </w:r>
    </w:p>
    <w:p>
      <w:pPr>
        <w:pStyle w:val="Heading2"/>
        <w:bidi w:val="false"/>
        <w:jc w:val="left"/>
      </w:pPr>
      <w:r>
        <w:rPr>
          <w:b/>
          <w:bCs/>
        </w:rPr>
        <w:t xml:space="preserve">٥. الأساس القانوني المنطبق</w:t>
      </w:r>
    </w:p>
    <w:p>
      <w:pPr>
        <w:bidi w:val="false"/>
        <w:jc w:val="left"/>
      </w:pPr>
      <w:r>
        <w:t xml:space="preserve">استند الاستحضار إلى المادة 101 من قانون أصول المحاكمات المدنية لتأسيس الاختصاص المكاني، على أساس أن الشركة مسجلة في طرابلس وأن مجلس العمل التحكيمي في الشمال هو المختص مكانياً. [مُثبَت — المستند: استحضار الدعوى، فقرة «في الشكل/أولاً: في الاختصاص المكاني»]</w:t>
      </w:r>
    </w:p>
    <w:p>
      <w:pPr>
        <w:bidi w:val="false"/>
        <w:jc w:val="left"/>
      </w:pPr>
      <w:r>
        <w:t xml:space="preserve">كما استند إلى المادة 79 من قانون العمل لتأسيس الاختصاص الوظيفي لمجلس العمل التحكيمي في الخلافات الناشئة عن الصرف من الخدمة وترك العمل والغرامات وسائر الخلافات بين أرباب العمل والأجراء عن تطبيق أحكام قانون العمل. [مُثبَت — المستند: استحضار الدعوى، فقرة «في الشكل/ثانياً: في الاختصاص الوظيفي»]</w:t>
      </w:r>
    </w:p>
    <w:p>
      <w:pPr>
        <w:bidi w:val="false"/>
        <w:jc w:val="left"/>
      </w:pPr>
      <w:r>
        <w:t xml:space="preserve">واستند إلى المادة 58 من قانون العمل للقول إن الأجير الذي يستفيد من عقد لمدة معينة جُدد بعقد أو بالاستمرار على العمل بدون انقطاع خلال مدة سنتين على الأقل يصبح حكمه، لجهة تعويضات الصرف، كحكم الأجراء في العقود غير المعينة المدة. [مُثبَت — المستند: استحضار الدعوى، فقرة «في الأساس/في اعتبار العقد غير محدد المدة»]</w:t>
      </w:r>
    </w:p>
    <w:p>
      <w:pPr>
        <w:bidi w:val="false"/>
        <w:jc w:val="left"/>
      </w:pPr>
      <w:r>
        <w:t xml:space="preserve">كما استند إلى الفقرة (د) من المادة 50 من قانون العمل للقول إن الصرف يعتبر إساءة أو تجاوزاً في استعمال الحق إذا تم لسبب غير مقبول أو لا يرتبط بأهلية العامل أو تصرفه داخل المؤسسة أو بحسن إدارة المؤسسة والعمل فيها. [مُثبَت — المستند: استحضار الدعوى، فقرة «أ-في الصرف التعسفي»]</w:t>
      </w:r>
    </w:p>
    <w:p>
      <w:pPr>
        <w:bidi w:val="false"/>
        <w:jc w:val="left"/>
      </w:pPr>
      <w:r>
        <w:t xml:space="preserve">واستند أيضاً إلى المادة 50 نفسها لتقرير حق العامل في طلب تعويض عن الصرف التعسفي، مع الإشارة إلى أن التعويض إذا صدر الفسخ من صاحب العمل يقدّر على أساس نوع العمل وسن العامل ومدة خدمته ووضعه العائلي والصحي ومقدار الضرر ومدى الإساءة في استعمال الحق، على ألا يقل عن بدل أجرة شهرين ولا يزيد عن بدل أجرة اثني عشر شهراً، وذلك بالإضافة إلى ما قد يستحقه العامل من تعويضات قانونية نتيجة فصله من الخدمة. [مُثبَت — المستند: استحضار الدعوى، فقرة «في تعويض الصرف التعسفي»]</w:t>
      </w:r>
    </w:p>
    <w:p>
      <w:pPr>
        <w:bidi w:val="false"/>
        <w:jc w:val="left"/>
      </w:pPr>
      <w:r>
        <w:t xml:space="preserve">وأخيراً، استند إلى الفقرة (ج) من المادة 50 من قانون العمل للقول بوجوب إعلام كل من صاحب العمل والعامل الآخر برغبته في فسخ العقد، وبناءً عليه طلب تعويض بدل إنذار يعادل أجرة شهر. [مُثبَت — المستند: استحضار الدعوى، فقرة «د-في تعويض الانذار»]</w:t>
      </w:r>
    </w:p>
    <w:p>
      <w:pPr>
        <w:bidi w:val="false"/>
        <w:jc w:val="left"/>
      </w:pPr>
      <w:r>
        <w:t xml:space="preserve">ملاحظة لازمة: النص المرفق يتضمن إحالات اجتهادية وفقهية داخل الاستحضار، لكن لم تُرفق نسخ تلك الأحكام أو ما يثبت حجيتها النصية الكاملة، لذلك لا يمكن التعامل معها هنا إلا بوصفها استناداً ورد في لائحة الدعوى نفسها. [مُثبَت — المستند: استحضار الدعوى، الفقرات التي أوردت أرقام القرارات والاجتهادات؛ [دليل مفقود — يلزم مستند غير مرفق: نسخ القرارات والاجتهادات المشار إليها]]</w:t>
      </w:r>
    </w:p>
    <w:p>
      <w:pPr>
        <w:pStyle w:val="Heading2"/>
        <w:bidi w:val="false"/>
        <w:jc w:val="left"/>
      </w:pPr>
      <w:r>
        <w:rPr>
          <w:b/>
          <w:bCs/>
        </w:rPr>
        <w:t xml:space="preserve">٦. نقاط القوة في موقف الموكّل</w:t>
      </w:r>
    </w:p>
    <w:p>
      <w:pPr>
        <w:bidi w:val="false"/>
        <w:jc w:val="left"/>
      </w:pPr>
      <w:r>
        <w:t xml:space="preserve">أول نقطة قوة هي أن المدعية تتمسك بنص صريح في المادة 58 من قانون العمل، وهو نص يربط بين التجديد المتتالي أو الاستمرار دون انقطاع لمدة سنتين وبين آثار قانونية لصالح الأجير في ما خص تعويضات الصرف. [مُثبَت — المستند: استحضار الدعوى، فقرة «في اعتبار العقد غير محدد المدة»]</w:t>
      </w:r>
    </w:p>
    <w:p>
      <w:pPr>
        <w:bidi w:val="false"/>
        <w:jc w:val="left"/>
      </w:pPr>
      <w:r>
        <w:t xml:space="preserve">ثاني نقطة قوة أن الاستحضار يربط بين مدة العمل المذكورة منذ سنة 2022 وبين واقعة التمديد إلى 29/2/2024، بما يدعم من حيث المبدأ القول بتجاوز مدة السنتين. [مُثبَت — المستند: استحضار الدعوى، فقرة «في الواقعات» و«في اعتبار العقد غير محدد المدة»]</w:t>
      </w:r>
    </w:p>
    <w:p>
      <w:pPr>
        <w:bidi w:val="false"/>
        <w:jc w:val="left"/>
      </w:pPr>
      <w:r>
        <w:t xml:space="preserve">ثالث نقطة قوة أن الاستحضار يدعي غياب الإنذار المسبق، وهو عنصر إذا ثبت قد ينهض سبباً مستقلاً للمطالبة بتعويض الإنذار. [مُثبَت — المستند: استحضار الدعوى، فقرة «د-في تعويض الانذار»؛ [دليل مفقود — يلزم مستند غير مرفق: ما يثبت عدم توجيه الإنذار]]</w:t>
      </w:r>
    </w:p>
    <w:p>
      <w:pPr>
        <w:bidi w:val="false"/>
        <w:jc w:val="left"/>
      </w:pPr>
      <w:r>
        <w:t xml:space="preserve">رابع نقطة قوة أن طلب التعويضات جاء محدداً حسابياً، ما يسهل على المحكمة مراقبة الأساس الحسابي للمطالبة. [مُثبَت — المستند: استحضار الدعوى، فقرة احتساب التعويضات]</w:t>
      </w:r>
    </w:p>
    <w:p>
      <w:pPr>
        <w:bidi w:val="false"/>
        <w:jc w:val="left"/>
      </w:pPr>
      <w:r>
        <w:t xml:space="preserve">خامس نقطة قوة أن المدعية اختارت الجهة القضائية المختصة نوعياً بحسب ما ورد في لائحتها، أي مجلس العمل التحكيمي، وهو ما ينسجم مع طبيعة النزاع العمالي المدعى به. [مُثبَت — المستند: استحضار الدعوى، فقرة «في الشكل/ثانياً: في الاختصاص الوظيفي»]</w:t>
      </w:r>
    </w:p>
    <w:p>
      <w:pPr>
        <w:pStyle w:val="Heading2"/>
        <w:bidi w:val="false"/>
        <w:jc w:val="left"/>
      </w:pPr>
      <w:r>
        <w:rPr>
          <w:b/>
          <w:bCs/>
        </w:rPr>
        <w:t xml:space="preserve">٧. نقاط الضعف والمخاطر</w:t>
      </w:r>
    </w:p>
    <w:p>
      <w:pPr>
        <w:bidi w:val="false"/>
        <w:jc w:val="left"/>
      </w:pPr>
      <w:r>
        <w:t xml:space="preserve">أبرز ضعف هو غياب المستندات الأساسية الموعودة في اللائحة: نسخة عقد العمل، صورة الوكالة، البلاغ المؤرخ 14/12/2023، وأي مستند يثبت الصرف أو التوقيف أو عدم توجيه الإنذار. [دليل مفقود — يلزم مستند غير مرفق: نسخة عقد العمل، صورة الوكالة، البلاغ المؤرخ 14/12/2023، ما يثبت الصرف أو التوقيف، وما يثبت عدم توجيه الإنذار]</w:t>
      </w:r>
    </w:p>
    <w:p>
      <w:pPr>
        <w:bidi w:val="false"/>
        <w:jc w:val="left"/>
      </w:pPr>
      <w:r>
        <w:t xml:space="preserve">ثاني ضعف أن الاستحضار يذكر أن العقد كان ينتهي في 1/1/2024 ثم يذكر بلاغاً بتمديده إلى 29/2/2024، من دون إرفاق البلاغ نفسه، ما يجعل واقعة التمديد محل إثبات لا محل افتراض. [مُثبَت — المستند: استحضار الدعوى، فقرة «في الواقعات»؛ [دليل مفقود — يلزم مستند غير مرفق: البلاغ المؤرخ 14/12/2023]]</w:t>
      </w:r>
    </w:p>
    <w:p>
      <w:pPr>
        <w:bidi w:val="false"/>
        <w:jc w:val="left"/>
      </w:pPr>
      <w:r>
        <w:t xml:space="preserve">ثالث ضعف أن احتساب تعويض الصرف التعسفي على أساس 1450 × 12 = 17400 دولاراً ينسجم حسابياً مع ما ورد، لكنه يفترض تلقائياً استحقاق الحد الأقصى، من دون بيان تفصيلي لعناصر التقدير التي أوردتها المادة 50. [مُثبَت — المستند: استحضار الدعوى، فقرة «في تعويض الصرف التعسفي»؛ [مفترض — استنتاج تحليلي لا يسنده دليل مباشر]]</w:t>
      </w:r>
    </w:p>
    <w:p>
      <w:pPr>
        <w:bidi w:val="false"/>
        <w:jc w:val="left"/>
      </w:pPr>
      <w:r>
        <w:t xml:space="preserve">رابع ضعف أن هناك تعارضاً ظاهراً في النص بين وصف المدعية بصيغة المؤنث في مواضع، وبصيغة المذكر في مواضع أخرى، ما قد يضعف الصياغة الشكلية وإن لم يمس أصل الحق. [مُثبَت — المستند: استحضار الدعوى؛ [متنازع عليه — يتعارض مع الصياغة الداخلية المتفاوتة في النص]]</w:t>
      </w:r>
    </w:p>
    <w:p>
      <w:pPr>
        <w:bidi w:val="false"/>
        <w:jc w:val="left"/>
      </w:pPr>
      <w:r>
        <w:t xml:space="preserve">خامس ضعف أن طلب إبلاغ الصندوق الوطني للضمان الاجتماعي ورد من دون بيان مباشر لسبب إدخاله في الخصومة أو طبيعة التزامه في هذا النزاع. [مُثبَت — المستند: استحضار الدعوى، الطلب الثالث؛ [دليل مفقود — يلزم مستند غير مرفق: ما يثبت صفة أو التزام الصندوق في النزاع]]</w:t>
      </w:r>
    </w:p>
    <w:p>
      <w:pPr>
        <w:bidi w:val="false"/>
        <w:jc w:val="left"/>
      </w:pPr>
      <w:r>
        <w:t xml:space="preserve">سادس ضعف أن القول بأن الشركة «مسجلة في طرابلس» ورد في اللائحة من دون إبراز مستند تسجيل أو قيد رسمي. [مُثبَت — المستند: استحضار الدعوى، فقرة الاختصاص المكاني؛ [دليل مفقود — يلزم مستند غير مرفق: أي مستند يثبت تسجيل الشركة في طرابلس]]</w:t>
      </w:r>
    </w:p>
    <w:p>
      <w:pPr>
        <w:pStyle w:val="Heading2"/>
        <w:bidi w:val="false"/>
        <w:jc w:val="left"/>
      </w:pPr>
      <w:r>
        <w:rPr>
          <w:b/>
          <w:bCs/>
        </w:rPr>
        <w:t xml:space="preserve">٨. ثغرات الأدلة</w:t>
      </w:r>
    </w:p>
    <w:p>
      <w:pPr>
        <w:pStyle w:val="ListParagraph"/>
        <w:numPr>
          <w:ilvl w:val="0"/>
          <w:numId w:val="1"/>
        </w:numPr>
        <w:bidi w:val="false"/>
        <w:jc w:val="left"/>
      </w:pPr>
      <w:r>
        <w:t xml:space="preserve">نسخة عقد العمل المشار إليها كمستند رقم 2 غير مرفقة. [دليل مفقود — يلزم مستند غير مرفق: نسخة عقد العمل]</w:t>
      </w:r>
    </w:p>
    <w:p>
      <w:pPr>
        <w:pStyle w:val="ListParagraph"/>
        <w:numPr>
          <w:ilvl w:val="0"/>
          <w:numId w:val="1"/>
        </w:numPr>
        <w:bidi w:val="false"/>
        <w:jc w:val="left"/>
      </w:pPr>
      <w:r>
        <w:t xml:space="preserve">صورة الوكالة المشار إليها كمستند رقم 1 غير مرفقة. [دليل مفقود — يلزم مستند غير مرفق: صورة عن الوكالة]</w:t>
      </w:r>
    </w:p>
    <w:p>
      <w:pPr>
        <w:pStyle w:val="ListParagraph"/>
        <w:numPr>
          <w:ilvl w:val="0"/>
          <w:numId w:val="1"/>
        </w:numPr>
        <w:bidi w:val="false"/>
        <w:jc w:val="left"/>
      </w:pPr>
      <w:r>
        <w:t xml:space="preserve">البلاغ المؤرخ 14/12/2023 بتمديد المدة إلى 29/2/2024 غير مرفق. [دليل مفقود — يلزم مستند غير مرفق: البلاغ المؤرخ 14/12/2023]</w:t>
      </w:r>
    </w:p>
    <w:p>
      <w:pPr>
        <w:pStyle w:val="ListParagraph"/>
        <w:numPr>
          <w:ilvl w:val="0"/>
          <w:numId w:val="1"/>
        </w:numPr>
        <w:bidi w:val="false"/>
        <w:jc w:val="left"/>
      </w:pPr>
      <w:r>
        <w:t xml:space="preserve">لا يوجد مستند يثبت الصرف أو التوقيف عن العمل. [دليل مفقود — يلزم مستند غير مرفق: ما يثبت الصرف أو التوقيف عن العمل]</w:t>
      </w:r>
    </w:p>
    <w:p>
      <w:pPr>
        <w:pStyle w:val="ListParagraph"/>
        <w:numPr>
          <w:ilvl w:val="0"/>
          <w:numId w:val="1"/>
        </w:numPr>
        <w:bidi w:val="false"/>
        <w:jc w:val="left"/>
      </w:pPr>
      <w:r>
        <w:t xml:space="preserve">لا يوجد مستند يثبت عدم توجيه إنذار خطي. [دليل مفقود — يلزم مستند غير مرفق: أي إنذار خطي أو ما يثبت عدم توجيهه]</w:t>
      </w:r>
    </w:p>
    <w:p>
      <w:pPr>
        <w:pStyle w:val="ListParagraph"/>
        <w:numPr>
          <w:ilvl w:val="0"/>
          <w:numId w:val="1"/>
        </w:numPr>
        <w:bidi w:val="false"/>
        <w:jc w:val="left"/>
      </w:pPr>
      <w:r>
        <w:t xml:space="preserve">لا يوجد مستند يثبت تسجيل الشركة في طرابلس. [دليل مفقود — يلزم مستند غير مرفق: مستند تسجيل الشركة]</w:t>
      </w:r>
    </w:p>
    <w:p>
      <w:pPr>
        <w:pStyle w:val="ListParagraph"/>
        <w:numPr>
          <w:ilvl w:val="0"/>
          <w:numId w:val="1"/>
        </w:numPr>
        <w:bidi w:val="false"/>
        <w:jc w:val="left"/>
      </w:pPr>
      <w:r>
        <w:t xml:space="preserve">لا يوجد ما يوضح سبب إدخال الصندوق الوطني للضمان الاجتماعي في الخصومة. [دليل مفقود — يلزم مستند غير مرفق: ما يثبت صفة الصندوق أو التزامه]</w:t>
      </w:r>
    </w:p>
    <w:p>
      <w:pPr>
        <w:pStyle w:val="Heading2"/>
        <w:bidi w:val="false"/>
        <w:jc w:val="left"/>
      </w:pPr>
      <w:r>
        <w:rPr>
          <w:b/>
          <w:bCs/>
        </w:rPr>
        <w:t xml:space="preserve">٩. استراتيجية الخصم المحتملة</w:t>
      </w:r>
    </w:p>
    <w:p>
      <w:pPr>
        <w:bidi w:val="false"/>
        <w:jc w:val="left"/>
      </w:pPr>
      <w:r>
        <w:t xml:space="preserve">من المرجح أن تتمسك الجهة المدعى عليها أولاً بعدم ثبوت التحول إلى عقد غير محدد المدة، عبر القول إن التجديدات أو التمديد المزعوم لم يثبتا بمستندات رسمية. [مفترض — استنتاج تحليلي لا يسنده دليل مباشر]</w:t>
      </w:r>
    </w:p>
    <w:p>
      <w:pPr>
        <w:bidi w:val="false"/>
        <w:jc w:val="left"/>
      </w:pPr>
      <w:r>
        <w:t xml:space="preserve">وقد تدفع ثانياً بأن الصرف لم يقع تعسفياً، أو أن العلاقة انتهت بانتهاء مدة العقد المحدد، لا بصرف تعسفي. [مفترض — استنتاج تحليلي لا يسنده دليل مباشر]</w:t>
      </w:r>
    </w:p>
    <w:p>
      <w:pPr>
        <w:bidi w:val="false"/>
        <w:jc w:val="left"/>
      </w:pPr>
      <w:r>
        <w:t xml:space="preserve">كما قد تتمسك بأن تعويض الصرف التعسفي لا يُحكم به تلقائياً بالحد الأقصى، بل يقدّر وفق عناصر المادة 50، وأن المدعية لم تثبت عناصر الضرر أو ظروف التقدير. [مفترض — استنتاج تحليلي لا يسنده دليل مباشر]</w:t>
      </w:r>
    </w:p>
    <w:p>
      <w:pPr>
        <w:bidi w:val="false"/>
        <w:jc w:val="left"/>
      </w:pPr>
      <w:r>
        <w:t xml:space="preserve">وقد تثير أيضاً دفعاً شكلياً أو موضوعياً يتعلق بعدم ثبوت الاختصاص المكاني إذا لم يثبت أن مركز الشركة الرئيسي في طرابلس أو أن الفرع هو محل التعاقد. [مفترض — استنتاج تحليلي لا يسنده دليل مباشر]</w:t>
      </w:r>
    </w:p>
    <w:p>
      <w:pPr>
        <w:bidi w:val="false"/>
        <w:jc w:val="left"/>
      </w:pPr>
      <w:r>
        <w:t xml:space="preserve">أما بالنسبة للصندوق الوطني للضمان الاجتماعي، فقد يدفع الخصم بعدم لزوم إدخاله في الخصومة لغياب أي طلب مباشر موجّه إليه أو أي التزام ثابت عليه في النزاع الحالي. [مفترض — استنتاج تحليلي لا يسنده دليل مباشر]</w:t>
      </w:r>
    </w:p>
    <w:p>
      <w:pPr>
        <w:pStyle w:val="Heading2"/>
        <w:bidi w:val="false"/>
        <w:jc w:val="left"/>
      </w:pPr>
      <w:r>
        <w:rPr>
          <w:b/>
          <w:bCs/>
        </w:rPr>
        <w:t xml:space="preserve">١٠. التقدير المرجّح لموقف القاضي</w:t>
      </w:r>
    </w:p>
    <w:p>
      <w:pPr>
        <w:bidi w:val="false"/>
        <w:jc w:val="left"/>
      </w:pPr>
      <w:r>
        <w:t xml:space="preserve">الترجيح في أصل الدعوى يبدو متوازناً إلى مرجّح لصالح المدعية من حيث المبدأ القانوني، لأن الاستحضار يستند إلى نصوص صريحة في قانون العمل بشأن التجديد المتتالي، والصرف التعسفي، وتعويض الإنذار. [مُثبَت — المستند: استحضار الدعوى، الفقرات القانونية المذكورة]</w:t>
      </w:r>
    </w:p>
    <w:p>
      <w:pPr>
        <w:bidi w:val="false"/>
        <w:jc w:val="left"/>
      </w:pPr>
      <w:r>
        <w:t xml:space="preserve">لكن هذا الترجيح يبقى مشروطاً بإثبات الوقائع الجوهرية بالمستندات، ولا سيما العقد والبلاغ وواقعة الصرف وعدم الإنذار؛ وبدونها قد يتجه القاضي إلى تضييق نطاق الاستجابة أو إلى طلب استكمال البينة. [دليل مفقود — يلزم مستند غير مرفق: نسخة العقد، البلاغ، ما يثبت الصرف وعدم الإنذار]</w:t>
      </w:r>
    </w:p>
    <w:p>
      <w:pPr>
        <w:bidi w:val="false"/>
        <w:jc w:val="left"/>
      </w:pPr>
      <w:r>
        <w:t xml:space="preserve">في ما خص التعويض، قد يكون موقف القاضي متوازناً أيضاً: فقبول المبدأ لا يعني حتماً الحكم بالحد الأقصى تلقائياً، لأن المادة 50 كما وردت في اللائحة تربط التقدير بعناصر متعددة. [مُثبَت — المستند: استحضار الدعوى، فقرة «في تعويض الصرف التعسفي»]</w:t>
      </w:r>
    </w:p>
    <w:p>
      <w:pPr>
        <w:bidi w:val="false"/>
        <w:jc w:val="left"/>
      </w:pPr>
      <w:r>
        <w:t xml:space="preserve">أما إدخال الصندوق الوطني للضمان الاجتماعي، فموقف القاضي منه على الأرجح ضعيف ما لم يبرز سبب قانوني واضح لإبلاغه أو إلزامه. [مُثبَت — المستند: استحضار الدعوى، الطلب الثالث؛ [دليل مفقود — يلزم مستند غير مرفق: ما يثبت صفة الصندوق أو التزامه]]</w:t>
      </w:r>
    </w:p>
    <w:p>
      <w:pPr>
        <w:pStyle w:val="Heading2"/>
        <w:bidi w:val="false"/>
        <w:jc w:val="left"/>
      </w:pPr>
      <w:r>
        <w:rPr>
          <w:b/>
          <w:bCs/>
        </w:rPr>
        <w:t xml:space="preserve">١١. الاستراتيجية الموصى بها</w:t>
      </w:r>
    </w:p>
    <w:p>
      <w:pPr>
        <w:bidi w:val="false"/>
        <w:jc w:val="left"/>
      </w:pPr>
      <w:r>
        <w:t xml:space="preserve">ينبغي أولاً تثبيت البنية الإثباتية قبل التوسع في الطلبات، عبر إبراز نسخة عقد العمل، والبلاغ المؤرخ 14/12/2023، وأي مراسلات أو إشعارات تتعلق بإنهاء العلاقة أو توقيف العمل. [دليل مفقود — يلزم مستند غير مرفق: نسخة العقد، البلاغ، المراسلات المتعلقة بالإنهاء أو التوقيف]</w:t>
      </w:r>
    </w:p>
    <w:p>
      <w:pPr>
        <w:bidi w:val="false"/>
        <w:jc w:val="left"/>
      </w:pPr>
      <w:r>
        <w:t xml:space="preserve">ثانياً، يجب تدعيم الدفع بتحول العقد إلى غير محدد المدة ببيان واضح ومتسلسل لفترات العمل والتجديد، مع ربطها مباشرة بمدة السنتين المنصوص عليها في المادة 58 كما وردت في اللائحة. [مُثبَت — المستند: استحضار الدعوى، فقرة «في اعتبار العقد غير محدد المدة»]</w:t>
      </w:r>
    </w:p>
    <w:p>
      <w:pPr>
        <w:bidi w:val="false"/>
        <w:jc w:val="left"/>
      </w:pPr>
      <w:r>
        <w:t xml:space="preserve">ثالثاً، من الأفضل عدم الاكتفاء بطلب الحد الأقصى لتعويض الصرف، بل تقديم عناصر تقدير واقعية: مدة الخدمة، طبيعة العمل، الضرر، والوضع العائلي والصحي إن وُجدت مستندات بشأنها. [مُثبَت — المستند: استحضار الدعوى، فقرة «في تعويض الصرف التعسفي»؛ [دليل مفقود — يلزم مستند غير مرفق: ما يثبت عناصر التقدير المذكورة]]</w:t>
      </w:r>
    </w:p>
    <w:p>
      <w:pPr>
        <w:bidi w:val="false"/>
        <w:jc w:val="left"/>
      </w:pPr>
      <w:r>
        <w:t xml:space="preserve">رابعاً، ينبغي حصر طلب إدخال الصندوق الوطني للضمان الاجتماعي بما له صلة مباشرة بالنزاع، أو الاكتفاء بإبلاغه إذا كان ذلك مطلوباً إجرائياً، مع بيان السبب القانوني لذلك. [مُثبَت — المستند: استحضار الدعوى، الطلب الثالث؛ [دليل مفقود — يلزم مستند غير مرفق: الأساس القانوني أو الواقعي لإدخال الصندوق]]</w:t>
      </w:r>
    </w:p>
    <w:p>
      <w:pPr>
        <w:bidi w:val="false"/>
        <w:jc w:val="left"/>
      </w:pPr>
      <w:r>
        <w:t xml:space="preserve">خامساً، من الناحية الصياغية، يجب تصحيح التفاوت في الضمائر والعبارات داخل اللائحة لتفادي أي دفع شكلي أو تشكيك في الدقة التحريرية. [مُثبَت — المستند: استحضار الدعوى؛ [متنازع عليه — يتعارض مع الصياغة الداخلية المتفاوتة في النص]]</w:t>
      </w:r>
    </w:p>
    <w:p>
      <w:pPr>
        <w:pStyle w:val="Heading2"/>
        <w:bidi w:val="false"/>
        <w:jc w:val="left"/>
      </w:pPr>
      <w:r>
        <w:rPr>
          <w:b/>
          <w:bCs/>
        </w:rPr>
        <w:t xml:space="preserve">١٢. الإجراءات الفورية والطلبات القانونية المقترحة</w:t>
      </w:r>
    </w:p>
    <w:p>
      <w:pPr>
        <w:bidi w:val="false"/>
        <w:jc w:val="left"/>
      </w:pPr>
      <w:r>
        <w:t xml:space="preserve">1. إرفاق نسخة عقد العمل المشار إليها كمستند رقم 2. [دليل مفقود — يلزم مستند غير مرفق: نسخة عقد العمل]</w:t>
      </w:r>
      <w:r>
        <w:br/>
        <w:t xml:space="preserve">2. إرفاق صورة الوكالة المشار إليها كمستند رقم 1. [دليل مفقود — يلزم مستند غير مرفق: صورة عن الوكالة]</w:t>
      </w:r>
      <w:r>
        <w:br/>
        <w:t xml:space="preserve">3. إرفاق البلاغ المؤرخ 14/12/2023 بتمديد المدة إلى 29/2/2024. [دليل مفقود — يلزم مستند غير مرفق: البلاغ المؤرخ 14/12/2023]</w:t>
      </w:r>
      <w:r>
        <w:br/>
        <w:t xml:space="preserve">4. إرفاق أي مستند يثبت الصرف أو التوقيف عن العمل، أو على الأقل المراسلات المتبادلة بشأنه. [دليل مفقود — يلزم مستند غير مرفق: ما يثبت الصرف أو التوقيف عن العمل]</w:t>
      </w:r>
      <w:r>
        <w:br/>
        <w:t xml:space="preserve">5. إرفاق ما يثبت عدم توجيه الإنذار، أو إبراز بند العقد الذي يشترط الإنذار. [دليل مفقود — يلزم مستند غير مرفق: ما يثبت عدم توجيه الإنذار أو بند العقد]</w:t>
      </w:r>
      <w:r>
        <w:br/>
        <w:t xml:space="preserve">6. إرفاق أي مستند يثبت تسجيل الشركة في طرابلس إذا أريد التمسك بالاختصاص المكاني على هذا الأساس. [دليل مفقود — يلزم مستند غير مرفق: مستند تسجيل الشركة في طرابلس]</w:t>
      </w:r>
      <w:r>
        <w:br/>
        <w:t xml:space="preserve">7. تقديم طلبات واضحة في الجلسة الأولى: قبول الدعوى شكلاً، تثبيت الاختصاص، الحكم بتعويض الصرف التعسفي، الحكم بتعويض الإنذار، وتضمين المدعى عليها الرسوم والنفقات وأتعاب المحاماة. [مُثبَت — المستند: استحضار الدعوى، الطلبات الختامية]</w:t>
      </w:r>
      <w:r>
        <w:br/>
        <w:t xml:space="preserve">8. إذا تعذر إرفاق بعض المستندات فوراً، طلب مهلة لإبرازها أو التمسك بحق المدعية في تقديم البينة لاحقاً. [مفترض — استنتاج تحليلي لا يسنده دليل مباشر]</w:t>
      </w:r>
    </w:p>
    <w:p>
      <w:pPr>
        <w:bidi w:val="false"/>
        <w:jc w:val="left"/>
      </w:pPr>
      <w:r>
        <w:t xml:space="preserve">⚖️ هذه معلومات قانونية عامة وليست استشارة قانونية. يُرجى استشارة محامٍ مؤهل بشأن وضعك الخاص.</w:t>
      </w:r>
    </w:p>
    <w:p/>
    <w:p>
      <w:pPr>
        <w:pStyle w:val="Heading2"/>
        <w:bidi w:val="false"/>
        <w:jc w:val="left"/>
      </w:pPr>
      <w:r>
        <w:rPr>
          <w:b/>
          <w:bCs/>
        </w:rPr>
        <w:t xml:space="preserve">Sources</w:t>
      </w:r>
    </w:p>
    <w:p>
      <w:pPr>
        <w:bidi w:val="false"/>
        <w:jc w:val="left"/>
      </w:pPr>
      <w:r>
        <w:rPr>
          <w:b/>
          <w:bCs/>
        </w:rPr>
        <w:t xml:space="preserve">[1] Lebanese</w:t>
      </w:r>
      <w:r>
        <w:rPr>
          <w:i/>
          <w:iCs/>
        </w:rPr>
        <w:t xml:space="preserve"> — Demystifying Demography: A Deep Dive into Political Theories Shaping Economic and Social Development How to cite: H. Badawi. (2024). Demystifying Demography: A Deep Dive into Political Theories Shaping Economic and…</w:t>
      </w:r>
    </w:p>
    <w:p>
      <w:pPr>
        <w:bidi w:val="false"/>
        <w:jc w:val="left"/>
      </w:pPr>
      <w:r>
        <w:rPr>
          <w:b/>
          <w:bCs/>
        </w:rPr>
        <w:t xml:space="preserve">[2] Lebanese</w:t>
      </w:r>
      <w:r>
        <w:rPr>
          <w:i/>
          <w:iCs/>
        </w:rPr>
        <w:t xml:space="preserve"> — 215 القانذون قاضياً فإنه يكون مقيداً بالعناصر الواقعية أي المقدمة الصغرى كما وردت من قبل الفرقاء أو وكلائهم. وفي هذا السياق نصّت م.7548 من ق. أ .م.م: "لا يجوز للقاضي إسناد حكمه إلى وقائع خارجة عن نطاق المحاكمة» ولكن…</w:t>
      </w:r>
    </w:p>
    <w:p>
      <w:pPr>
        <w:bidi w:val="false"/>
        <w:jc w:val="left"/>
      </w:pPr>
      <w:r>
        <w:rPr>
          <w:b/>
          <w:bCs/>
        </w:rPr>
        <w:t xml:space="preserve">[3] Lebanese</w:t>
      </w:r>
      <w:r>
        <w:rPr>
          <w:i/>
          <w:iCs/>
        </w:rPr>
        <w:t xml:space="preserve"> — not recognized as a contracting party, which is a reasonable thing to do if the system was not that complex or highly autonomous“. Nevertheless, what about highly complex systems? For instance, many systems are founded…</w:t>
      </w:r>
    </w:p>
    <w:p>
      <w:pPr>
        <w:bidi w:val="false"/>
        <w:jc w:val="left"/>
      </w:pPr>
      <w:r>
        <w:rPr>
          <w:b/>
          <w:bCs/>
        </w:rPr>
        <w:t xml:space="preserve">[4] Lebanese</w:t>
      </w:r>
      <w:r>
        <w:rPr>
          <w:i/>
          <w:iCs/>
        </w:rPr>
        <w:t xml:space="preserve"> — لا يوجد ما يسمى بالمسائل ‎die sill‏ لكننا أطلقنا هذا المسمى باعتبار أن المشرع العماني» ومن خلال ذكره في نهاية المادة 153 عبارة (أو غير ذلك) بعد أن ذكر مسائل الأحوال الشخصية؛ إنما كان يفترض - برأينا - أن تطرأ أمام…</w:t>
      </w:r>
    </w:p>
    <w:p>
      <w:pPr>
        <w:bidi w:val="false"/>
        <w:jc w:val="left"/>
      </w:pPr>
      <w:r>
        <w:rPr>
          <w:b/>
          <w:bCs/>
        </w:rPr>
        <w:t xml:space="preserve">[5] Lebanese</w:t>
      </w:r>
      <w:r>
        <w:rPr>
          <w:i/>
          <w:iCs/>
        </w:rPr>
        <w:t xml:space="preserve"> — Based on this positivist perspective, extending legal personhood to AI systems is possible, yet it depends on the practical consideration of () Radin, M. (1932), p. 643,658. ‎(This theory, as seen in Article 844 of the…</w:t>
      </w:r>
    </w:p>
    <w:p>
      <w:pPr>
        <w:bidi w:val="false"/>
        <w:jc w:val="left"/>
      </w:pPr>
      <w:r>
        <w:rPr>
          <w:b/>
          <w:bCs/>
        </w:rPr>
        <w:t xml:space="preserve">[6] Lebanese</w:t>
      </w:r>
      <w:r>
        <w:rPr>
          <w:i/>
          <w:iCs/>
        </w:rPr>
        <w:t xml:space="preserve"> — 279 المطلب الثاني :_ تقييم الحكم أو القرار (مناقشة الحل القانوني) . تقييم الحكم هو إبداء الرأي الشخصي من خلال مناقشتنا وتقييمنا للحل من الوجهة القانونية؛ أي دراسة ما إذا كان الحل القانوني الذي اعتمدته المحكمة يتوافق مع…</w:t>
      </w:r>
    </w:p>
    <w:p>
      <w:pPr>
        <w:bidi w:val="false"/>
        <w:jc w:val="left"/>
      </w:pPr>
      <w:r>
        <w:rPr>
          <w:b/>
          <w:bCs/>
        </w:rPr>
        <w:t xml:space="preserve">[7] Lebanese</w:t>
      </w:r>
      <w:r>
        <w:rPr>
          <w:i/>
          <w:iCs/>
        </w:rPr>
        <w:t xml:space="preserve"> — يقصد بالحل القانوني لنزاع معين » تطبيق قاعدة قانونية محددة على العناصر الواقعية المستنتجة من هذا النزاع . ويتم هذا الحل عن طريق ربط العناصر الواقعية للنزاع بالقاعدة القانونية المناسبة . بمعنى آخر » يمكن التوصل الى الحل…</w:t>
      </w:r>
    </w:p>
    <w:p>
      <w:pPr>
        <w:bidi w:val="false"/>
        <w:jc w:val="left"/>
      </w:pPr>
      <w:r>
        <w:rPr>
          <w:b/>
          <w:bCs/>
        </w:rPr>
        <w:t xml:space="preserve">[8] Lebanese</w:t>
      </w:r>
      <w:r>
        <w:rPr>
          <w:i/>
          <w:iCs/>
        </w:rPr>
        <w:t xml:space="preserve"> — To explain the rationale behind this recommendation, one can imagine the case of autonomous terrestrial and aerial vehicles. Both systems are designed to operate in open environments, exhibit a certain level of…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AIJUR answer</dc:title>
  <dc:creator>AIJUR Assistant</dc:creator>
  <dc:description>🔎 Deep Legal Analysis — Case Analysis</dc:description>
  <cp:lastModifiedBy>Un-named</cp:lastModifiedBy>
  <cp:revision>1</cp:revision>
  <dcterms:created xsi:type="dcterms:W3CDTF">2026-06-23T13:48:27.635Z</dcterms:created>
  <dcterms:modified xsi:type="dcterms:W3CDTF">2026-06-23T13:48:27.635Z</dcterms:modified>
</cp:coreProperties>
</file>

<file path=docProps/custom.xml><?xml version="1.0" encoding="utf-8"?>
<Properties xmlns="http://schemas.openxmlformats.org/officeDocument/2006/custom-properties" xmlns:vt="http://schemas.openxmlformats.org/officeDocument/2006/docPropsVTypes"/>
</file>