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3128C">
      <w:pPr>
        <w:spacing w:after="0" w:line="400" w:lineRule="exact"/>
        <w:ind w:left="2"/>
        <w:jc w:val="center"/>
        <w:rPr>
          <w:rFonts w:cs="仿宋_GB2312" w:asciiTheme="minorEastAsia" w:hAnsiTheme="minorEastAsia" w:eastAsiaTheme="minorEastAsia"/>
          <w:b/>
          <w:bCs/>
          <w:color w:val="000000"/>
          <w:sz w:val="24"/>
        </w:rPr>
      </w:pPr>
      <w:bookmarkStart w:id="78" w:name="_GoBack"/>
      <w:bookmarkEnd w:id="78"/>
    </w:p>
    <w:p w14:paraId="1F9B9266">
      <w:pPr>
        <w:spacing w:after="0" w:line="400" w:lineRule="exact"/>
        <w:ind w:left="2"/>
        <w:jc w:val="center"/>
        <w:rPr>
          <w:rFonts w:cs="仿宋_GB2312" w:asciiTheme="minorEastAsia" w:hAnsiTheme="minorEastAsia" w:eastAsiaTheme="minorEastAsia"/>
          <w:b/>
          <w:bCs/>
          <w:color w:val="000000"/>
          <w:sz w:val="24"/>
        </w:rPr>
      </w:pPr>
    </w:p>
    <w:p w14:paraId="4E2FAAB6">
      <w:pPr>
        <w:spacing w:after="0" w:line="400" w:lineRule="exact"/>
        <w:ind w:left="2"/>
        <w:jc w:val="center"/>
        <w:rPr>
          <w:rFonts w:cs="仿宋_GB2312" w:asciiTheme="minorEastAsia" w:hAnsiTheme="minorEastAsia" w:eastAsiaTheme="minorEastAsia"/>
          <w:b/>
          <w:bCs/>
          <w:color w:val="000000"/>
          <w:sz w:val="24"/>
        </w:rPr>
      </w:pPr>
    </w:p>
    <w:p w14:paraId="47733CCE">
      <w:pPr>
        <w:spacing w:line="480" w:lineRule="auto"/>
        <w:jc w:val="center"/>
        <w:rPr>
          <w:rFonts w:cs="仿宋_GB2312" w:asciiTheme="minorEastAsia" w:hAnsiTheme="minorEastAsia" w:eastAsiaTheme="minorEastAsia"/>
          <w:b/>
          <w:bCs/>
          <w:sz w:val="44"/>
          <w:szCs w:val="44"/>
        </w:rPr>
      </w:pPr>
      <w:r>
        <w:rPr>
          <w:rFonts w:hint="eastAsia" w:cs="仿宋_GB2312" w:asciiTheme="minorEastAsia" w:hAnsiTheme="minorEastAsia" w:eastAsiaTheme="minorEastAsia"/>
          <w:b/>
          <w:bCs/>
          <w:sz w:val="44"/>
          <w:szCs w:val="44"/>
        </w:rPr>
        <w:t>钢轧作业部购置环保设施设备</w:t>
      </w:r>
    </w:p>
    <w:p w14:paraId="596B6D97">
      <w:pPr>
        <w:spacing w:line="480" w:lineRule="auto"/>
        <w:jc w:val="center"/>
        <w:rPr>
          <w:rFonts w:cs="仿宋_GB2312" w:asciiTheme="minorEastAsia" w:hAnsiTheme="minorEastAsia" w:eastAsiaTheme="minorEastAsia"/>
          <w:b/>
          <w:bCs/>
          <w:sz w:val="44"/>
          <w:szCs w:val="44"/>
        </w:rPr>
      </w:pPr>
      <w:r>
        <w:rPr>
          <w:rFonts w:hint="eastAsia" w:cs="仿宋_GB2312" w:asciiTheme="minorEastAsia" w:hAnsiTheme="minorEastAsia" w:eastAsiaTheme="minorEastAsia"/>
          <w:b/>
          <w:bCs/>
          <w:sz w:val="44"/>
          <w:szCs w:val="44"/>
        </w:rPr>
        <w:t>仪表项目设备采购</w:t>
      </w:r>
    </w:p>
    <w:p w14:paraId="72146126">
      <w:pPr>
        <w:spacing w:line="480" w:lineRule="auto"/>
        <w:jc w:val="center"/>
        <w:rPr>
          <w:rFonts w:cs="仿宋_GB2312" w:asciiTheme="minorEastAsia" w:hAnsiTheme="minorEastAsia" w:eastAsiaTheme="minorEastAsia"/>
          <w:b/>
          <w:bCs/>
          <w:sz w:val="24"/>
        </w:rPr>
      </w:pPr>
    </w:p>
    <w:p w14:paraId="738E8883">
      <w:pPr>
        <w:spacing w:after="0" w:line="1100" w:lineRule="exact"/>
        <w:rPr>
          <w:rFonts w:cs="仿宋_GB2312" w:asciiTheme="minorEastAsia" w:hAnsiTheme="minorEastAsia" w:eastAsiaTheme="minorEastAsia"/>
          <w:b/>
          <w:bCs/>
          <w:color w:val="000000"/>
          <w:sz w:val="24"/>
        </w:rPr>
      </w:pPr>
    </w:p>
    <w:p w14:paraId="22ECB997">
      <w:pPr>
        <w:spacing w:after="0" w:line="1100" w:lineRule="exact"/>
        <w:jc w:val="center"/>
        <w:rPr>
          <w:rFonts w:cs="仿宋_GB2312" w:asciiTheme="minorEastAsia" w:hAnsiTheme="minorEastAsia" w:eastAsiaTheme="minorEastAsia"/>
          <w:b/>
          <w:bCs/>
          <w:color w:val="000000"/>
          <w:sz w:val="44"/>
          <w:szCs w:val="44"/>
        </w:rPr>
      </w:pPr>
      <w:r>
        <w:rPr>
          <w:rFonts w:hint="eastAsia" w:cs="仿宋_GB2312" w:asciiTheme="minorEastAsia" w:hAnsiTheme="minorEastAsia" w:eastAsiaTheme="minorEastAsia"/>
          <w:b/>
          <w:bCs/>
          <w:color w:val="000000"/>
          <w:sz w:val="44"/>
          <w:szCs w:val="44"/>
        </w:rPr>
        <w:t>技</w:t>
      </w:r>
    </w:p>
    <w:p w14:paraId="58C0B0A0">
      <w:pPr>
        <w:spacing w:after="0" w:line="1100" w:lineRule="exact"/>
        <w:jc w:val="center"/>
        <w:rPr>
          <w:rFonts w:cs="仿宋_GB2312" w:asciiTheme="minorEastAsia" w:hAnsiTheme="minorEastAsia" w:eastAsiaTheme="minorEastAsia"/>
          <w:b/>
          <w:bCs/>
          <w:color w:val="000000"/>
          <w:sz w:val="44"/>
          <w:szCs w:val="44"/>
        </w:rPr>
      </w:pPr>
      <w:r>
        <w:rPr>
          <w:rFonts w:hint="eastAsia" w:cs="仿宋_GB2312" w:asciiTheme="minorEastAsia" w:hAnsiTheme="minorEastAsia" w:eastAsiaTheme="minorEastAsia"/>
          <w:b/>
          <w:bCs/>
          <w:color w:val="000000"/>
          <w:sz w:val="44"/>
          <w:szCs w:val="44"/>
        </w:rPr>
        <w:t>术</w:t>
      </w:r>
    </w:p>
    <w:p w14:paraId="7260A64A">
      <w:pPr>
        <w:spacing w:after="0" w:line="1100" w:lineRule="exact"/>
        <w:jc w:val="center"/>
        <w:rPr>
          <w:rFonts w:cs="仿宋_GB2312" w:asciiTheme="minorEastAsia" w:hAnsiTheme="minorEastAsia" w:eastAsiaTheme="minorEastAsia"/>
          <w:b/>
          <w:bCs/>
          <w:color w:val="000000"/>
          <w:sz w:val="44"/>
          <w:szCs w:val="44"/>
        </w:rPr>
      </w:pPr>
      <w:r>
        <w:rPr>
          <w:rFonts w:hint="eastAsia" w:cs="仿宋_GB2312" w:asciiTheme="minorEastAsia" w:hAnsiTheme="minorEastAsia" w:eastAsiaTheme="minorEastAsia"/>
          <w:b/>
          <w:bCs/>
          <w:color w:val="000000"/>
          <w:sz w:val="44"/>
          <w:szCs w:val="44"/>
        </w:rPr>
        <w:t>规</w:t>
      </w:r>
    </w:p>
    <w:p w14:paraId="4D099E5A">
      <w:pPr>
        <w:spacing w:after="0" w:line="1100" w:lineRule="exact"/>
        <w:jc w:val="center"/>
        <w:rPr>
          <w:rFonts w:cs="仿宋_GB2312" w:asciiTheme="minorEastAsia" w:hAnsiTheme="minorEastAsia" w:eastAsiaTheme="minorEastAsia"/>
          <w:b/>
          <w:bCs/>
          <w:color w:val="000000"/>
          <w:sz w:val="44"/>
          <w:szCs w:val="44"/>
        </w:rPr>
      </w:pPr>
      <w:r>
        <w:rPr>
          <w:rFonts w:hint="eastAsia" w:cs="仿宋_GB2312" w:asciiTheme="minorEastAsia" w:hAnsiTheme="minorEastAsia" w:eastAsiaTheme="minorEastAsia"/>
          <w:b/>
          <w:bCs/>
          <w:color w:val="000000"/>
          <w:sz w:val="44"/>
          <w:szCs w:val="44"/>
        </w:rPr>
        <w:t>格</w:t>
      </w:r>
    </w:p>
    <w:p w14:paraId="05C4E364">
      <w:pPr>
        <w:spacing w:after="0" w:line="1100" w:lineRule="exact"/>
        <w:jc w:val="center"/>
        <w:rPr>
          <w:rFonts w:cs="仿宋_GB2312" w:asciiTheme="minorEastAsia" w:hAnsiTheme="minorEastAsia" w:eastAsiaTheme="minorEastAsia"/>
          <w:b/>
          <w:bCs/>
          <w:color w:val="000000"/>
          <w:sz w:val="44"/>
          <w:szCs w:val="44"/>
        </w:rPr>
      </w:pPr>
      <w:r>
        <w:rPr>
          <w:rFonts w:hint="eastAsia" w:cs="仿宋_GB2312" w:asciiTheme="minorEastAsia" w:hAnsiTheme="minorEastAsia" w:eastAsiaTheme="minorEastAsia"/>
          <w:b/>
          <w:bCs/>
          <w:color w:val="000000"/>
          <w:sz w:val="44"/>
          <w:szCs w:val="44"/>
        </w:rPr>
        <w:t>书</w:t>
      </w:r>
    </w:p>
    <w:p w14:paraId="12E5E017">
      <w:pPr>
        <w:spacing w:after="0" w:line="540" w:lineRule="exact"/>
        <w:jc w:val="left"/>
        <w:rPr>
          <w:rFonts w:cs="仿宋_GB2312" w:asciiTheme="minorEastAsia" w:hAnsiTheme="minorEastAsia" w:eastAsiaTheme="minorEastAsia"/>
          <w:sz w:val="24"/>
        </w:rPr>
      </w:pPr>
    </w:p>
    <w:p w14:paraId="7C0863A0">
      <w:pPr>
        <w:spacing w:after="0" w:line="540" w:lineRule="exact"/>
        <w:jc w:val="left"/>
        <w:rPr>
          <w:rFonts w:cs="仿宋_GB2312" w:asciiTheme="minorEastAsia" w:hAnsiTheme="minorEastAsia" w:eastAsiaTheme="minorEastAsia"/>
          <w:sz w:val="24"/>
        </w:rPr>
      </w:pPr>
    </w:p>
    <w:p w14:paraId="1CBCB7A7">
      <w:pPr>
        <w:pStyle w:val="13"/>
        <w:spacing w:after="0" w:line="540" w:lineRule="exact"/>
        <w:ind w:firstLine="480"/>
        <w:rPr>
          <w:rFonts w:cs="仿宋_GB2312" w:asciiTheme="minorEastAsia" w:hAnsiTheme="minorEastAsia" w:eastAsiaTheme="minorEastAsia"/>
          <w:sz w:val="24"/>
        </w:rPr>
      </w:pPr>
    </w:p>
    <w:p w14:paraId="00C6A636">
      <w:pPr>
        <w:spacing w:after="0" w:line="540" w:lineRule="exact"/>
        <w:jc w:val="center"/>
        <w:rPr>
          <w:rFonts w:cs="仿宋_GB2312" w:asciiTheme="minorEastAsia" w:hAnsiTheme="minorEastAsia" w:eastAsiaTheme="minorEastAsia"/>
          <w:b/>
          <w:sz w:val="28"/>
          <w:szCs w:val="44"/>
        </w:rPr>
      </w:pPr>
      <w:r>
        <w:rPr>
          <w:rFonts w:hint="eastAsia" w:cs="仿宋_GB2312" w:asciiTheme="minorEastAsia" w:hAnsiTheme="minorEastAsia" w:eastAsiaTheme="minorEastAsia"/>
          <w:b/>
          <w:sz w:val="28"/>
          <w:szCs w:val="44"/>
        </w:rPr>
        <w:t>首钢京唐公司钢轧作业部</w:t>
      </w:r>
    </w:p>
    <w:p w14:paraId="77601FC7">
      <w:pPr>
        <w:spacing w:after="0" w:line="540" w:lineRule="exact"/>
        <w:jc w:val="center"/>
        <w:rPr>
          <w:rFonts w:cs="仿宋_GB2312" w:asciiTheme="minorEastAsia" w:hAnsiTheme="minorEastAsia" w:eastAsiaTheme="minorEastAsia"/>
          <w:b/>
          <w:sz w:val="28"/>
          <w:szCs w:val="44"/>
        </w:rPr>
      </w:pPr>
      <w:r>
        <w:rPr>
          <w:rFonts w:hint="eastAsia" w:cs="仿宋_GB2312" w:asciiTheme="minorEastAsia" w:hAnsiTheme="minorEastAsia" w:eastAsiaTheme="minorEastAsia"/>
          <w:b/>
          <w:sz w:val="28"/>
          <w:szCs w:val="44"/>
        </w:rPr>
        <w:t>2026年</w:t>
      </w:r>
      <w:r>
        <w:rPr>
          <w:rFonts w:cs="仿宋_GB2312" w:asciiTheme="minorEastAsia" w:hAnsiTheme="minorEastAsia" w:eastAsiaTheme="minorEastAsia"/>
          <w:b/>
          <w:sz w:val="28"/>
          <w:szCs w:val="44"/>
        </w:rPr>
        <w:t>4</w:t>
      </w:r>
      <w:r>
        <w:rPr>
          <w:rFonts w:hint="eastAsia" w:cs="仿宋_GB2312" w:asciiTheme="minorEastAsia" w:hAnsiTheme="minorEastAsia" w:eastAsiaTheme="minorEastAsia"/>
          <w:b/>
          <w:sz w:val="28"/>
          <w:szCs w:val="44"/>
        </w:rPr>
        <w:t>月</w:t>
      </w:r>
    </w:p>
    <w:p w14:paraId="49A4E336">
      <w:pPr>
        <w:spacing w:after="0" w:line="540" w:lineRule="exact"/>
        <w:jc w:val="center"/>
        <w:rPr>
          <w:rFonts w:cs="仿宋_GB2312" w:asciiTheme="minorEastAsia" w:hAnsiTheme="minorEastAsia" w:eastAsiaTheme="minorEastAsia"/>
          <w:b/>
          <w:sz w:val="44"/>
          <w:szCs w:val="44"/>
        </w:rPr>
      </w:pPr>
    </w:p>
    <w:p w14:paraId="76A51900">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textAlignment w:val="auto"/>
        <w:rPr>
          <w:rFonts w:cs="仿宋_GB2312" w:asciiTheme="minorEastAsia" w:hAnsiTheme="minorEastAsia" w:eastAsiaTheme="minorEastAsia"/>
          <w:b/>
          <w:color w:val="000000"/>
          <w:sz w:val="24"/>
        </w:rPr>
      </w:pPr>
      <w:r>
        <w:rPr>
          <w:rFonts w:hint="eastAsia" w:cs="仿宋_GB2312" w:asciiTheme="minorEastAsia" w:hAnsiTheme="minorEastAsia" w:eastAsiaTheme="minorEastAsia"/>
          <w:color w:val="000000"/>
          <w:sz w:val="24"/>
        </w:rPr>
        <w:t xml:space="preserve"> </w:t>
      </w:r>
      <w:r>
        <w:rPr>
          <w:rFonts w:cs="仿宋_GB2312" w:asciiTheme="minorEastAsia" w:hAnsiTheme="minorEastAsia" w:eastAsiaTheme="minorEastAsia"/>
          <w:color w:val="000000"/>
          <w:sz w:val="24"/>
        </w:rPr>
        <w:t xml:space="preserve"> </w:t>
      </w:r>
      <w:r>
        <w:rPr>
          <w:rFonts w:cs="仿宋_GB2312" w:asciiTheme="minorEastAsia" w:hAnsiTheme="minorEastAsia" w:eastAsiaTheme="minorEastAsia"/>
          <w:b/>
          <w:color w:val="000000"/>
          <w:sz w:val="24"/>
        </w:rPr>
        <w:t>一、总则</w:t>
      </w:r>
    </w:p>
    <w:p w14:paraId="6C9CC80F">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本技术要求文件适用于首钢京唐钢铁联合有限责任公司钢轧作业部购置环保设施设备仪表项目，提出了工程设计、设备供货和调试及考核等方面的技术要求。</w:t>
      </w:r>
    </w:p>
    <w:p w14:paraId="209A4FB4">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1.1本招标文件提出的为最低限度的技术要求，并未对一切技术细节作出规定。投标方提供符合工业标准的最高标准的（或是满足发标方要求的）优质产品及其相应服务。对国家有关安全、职业健康、经济标准、环保等强制性标准，必须满足其要求，本文未尽事宜，须双方协定完善解决，但不产生增加费用。</w:t>
      </w:r>
    </w:p>
    <w:p w14:paraId="160E4486">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1.2投标方在设计、制造中所涉及的各项规程、规范和标准遵循现行最新版本的中国国家标准。</w:t>
      </w:r>
    </w:p>
    <w:p w14:paraId="0C24BB62">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1.3在合同签定后，发标方有权因规范、标准、规程发生变化而提出一些补充要求。投标方应满足并遵守这些要求且不另外增加费用。</w:t>
      </w:r>
    </w:p>
    <w:p w14:paraId="379969FE">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1.4投标方采用的专利技术涉及到的全部费用均被认为已包含在投标总价中。投标方应保证发标方不承担有关专利的一切责任。</w:t>
      </w:r>
    </w:p>
    <w:p w14:paraId="4A3C2FA0">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1.5投标方应编制项目的整体分项预算，对于投标方负责部分的各类费用均已包含在投标总价中，不应再以任何理由追加费用。</w:t>
      </w:r>
    </w:p>
    <w:p w14:paraId="65EB2096">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1.6投标方对本次招标中的设备及相关设备的完整性、功能、正确性负责，对工艺范围内的对于影响产线正常生产遗漏的设备和设施由投标方负责。</w:t>
      </w:r>
    </w:p>
    <w:p w14:paraId="5A6B0AA1">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1.7因工程所处滨海位置，投标方须考虑腐蚀及后期维护问题，保证设备设计使用年限15年。</w:t>
      </w:r>
    </w:p>
    <w:p w14:paraId="22687E87">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1.8本项目工期要求：中标通知书生效后3个月内设备供货全部到现场。</w:t>
      </w:r>
    </w:p>
    <w:p w14:paraId="5AF4643E">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1.9总承包包括标段内容相关的所有专业的设备供货工作。</w:t>
      </w:r>
    </w:p>
    <w:p w14:paraId="114B6181">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1.10中标单位负责所供设备的性能测试、考核、消缺、竣工验收、资料提交、售后服务等工作，对设备验收指标负责。</w:t>
      </w:r>
    </w:p>
    <w:p w14:paraId="528E44A3">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color w:val="000000"/>
          <w:sz w:val="24"/>
        </w:rPr>
        <w:t>1.11质量保证期：设备质量保证期为12个月，质保期内出现质量问题投标方负责免费维修或更换，不含消耗件。</w:t>
      </w:r>
    </w:p>
    <w:p w14:paraId="07A497EF">
      <w:pPr>
        <w:pStyle w:val="2"/>
        <w:keepNext w:val="0"/>
        <w:keepLines w:val="0"/>
        <w:pageBreakBefore w:val="0"/>
        <w:widowControl w:val="0"/>
        <w:kinsoku/>
        <w:wordWrap/>
        <w:overflowPunct/>
        <w:topLinePunct w:val="0"/>
        <w:autoSpaceDE/>
        <w:autoSpaceDN/>
        <w:bidi w:val="0"/>
        <w:adjustRightInd/>
        <w:snapToGrid/>
        <w:spacing w:before="0" w:beforeAutospacing="0" w:afterAutospacing="0" w:line="420" w:lineRule="exact"/>
        <w:textAlignment w:val="auto"/>
        <w:rPr>
          <w:rFonts w:asciiTheme="minorEastAsia" w:hAnsiTheme="minorEastAsia" w:eastAsiaTheme="minorEastAsia"/>
          <w:sz w:val="24"/>
        </w:rPr>
      </w:pPr>
      <w:bookmarkStart w:id="0" w:name="_Toc130354895"/>
      <w:bookmarkStart w:id="1" w:name="_Toc130355070"/>
      <w:bookmarkStart w:id="2" w:name="_Toc130355032"/>
      <w:bookmarkStart w:id="3" w:name="_Toc130445193"/>
      <w:r>
        <w:rPr>
          <w:rFonts w:hint="eastAsia" w:asciiTheme="minorEastAsia" w:hAnsiTheme="minorEastAsia" w:eastAsiaTheme="minorEastAsia"/>
          <w:sz w:val="24"/>
        </w:rPr>
        <w:t>二、工程概述</w:t>
      </w:r>
    </w:p>
    <w:bookmarkEnd w:id="0"/>
    <w:bookmarkEnd w:id="1"/>
    <w:bookmarkEnd w:id="2"/>
    <w:bookmarkEnd w:id="3"/>
    <w:p w14:paraId="3065D0D1">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color w:val="000000"/>
          <w:sz w:val="24"/>
        </w:rPr>
      </w:pPr>
      <w:bookmarkStart w:id="4" w:name="_Toc31701"/>
      <w:bookmarkStart w:id="5" w:name="_Toc130445195"/>
      <w:bookmarkStart w:id="6" w:name="_Toc130354898"/>
      <w:bookmarkStart w:id="7" w:name="_Toc130355035"/>
      <w:bookmarkStart w:id="8" w:name="_Toc130355073"/>
      <w:r>
        <w:rPr>
          <w:rFonts w:hint="eastAsia" w:cs="仿宋_GB2312" w:asciiTheme="minorEastAsia" w:hAnsiTheme="minorEastAsia" w:eastAsiaTheme="minorEastAsia"/>
          <w:color w:val="000000"/>
          <w:sz w:val="24"/>
        </w:rPr>
        <w:t>钢轧作业部平整机除尘、钢渣自磨罐除尘、板坯修磨机除尘、胶凝材料线除尘、渣处理湿电除尘等纳入排污许可的小除尘器的电流、风量、压差、清灰周期等未安装检测传感器，按创建A级企业要求，需要完善仪表和数据采集并上传。另外，钢轧作业部在经四路和经六路的生产排水口未安装流量计，不符合排污许可管理要求，需各安装排水流量计1套。为满足环保A级的需求，需要对现有环保设备仪表进行完善，以确保纳入排污许可证的环保设施关键运行参数全部采集并上传DCS系统。</w:t>
      </w:r>
    </w:p>
    <w:p w14:paraId="50FAA66F">
      <w:pPr>
        <w:pStyle w:val="2"/>
        <w:keepNext w:val="0"/>
        <w:keepLines w:val="0"/>
        <w:pageBreakBefore w:val="0"/>
        <w:widowControl w:val="0"/>
        <w:kinsoku/>
        <w:wordWrap/>
        <w:overflowPunct/>
        <w:topLinePunct w:val="0"/>
        <w:autoSpaceDE/>
        <w:autoSpaceDN/>
        <w:bidi w:val="0"/>
        <w:adjustRightInd/>
        <w:snapToGrid/>
        <w:spacing w:before="0" w:beforeAutospacing="0" w:after="0" w:afterAutospacing="0" w:line="420" w:lineRule="exact"/>
        <w:ind w:left="0" w:firstLine="0"/>
        <w:jc w:val="both"/>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三、项目目标及内容</w:t>
      </w:r>
      <w:bookmarkEnd w:id="4"/>
      <w:bookmarkEnd w:id="5"/>
      <w:bookmarkEnd w:id="6"/>
      <w:bookmarkEnd w:id="7"/>
      <w:bookmarkEnd w:id="8"/>
    </w:p>
    <w:p w14:paraId="13850042">
      <w:pPr>
        <w:keepNext w:val="0"/>
        <w:keepLines w:val="0"/>
        <w:pageBreakBefore w:val="0"/>
        <w:widowControl w:val="0"/>
        <w:kinsoku/>
        <w:wordWrap/>
        <w:overflowPunct/>
        <w:topLinePunct w:val="0"/>
        <w:autoSpaceDE/>
        <w:autoSpaceDN/>
        <w:bidi w:val="0"/>
        <w:adjustRightInd/>
        <w:snapToGrid/>
        <w:spacing w:beforeAutospacing="0" w:afterAutospacing="0" w:line="420" w:lineRule="exact"/>
        <w:ind w:firstLine="480" w:firstLineChars="200"/>
        <w:textAlignment w:val="auto"/>
        <w:rPr>
          <w:rFonts w:cs="仿宋_GB2312" w:asciiTheme="minorEastAsia" w:hAnsiTheme="minorEastAsia" w:eastAsiaTheme="minorEastAsia"/>
          <w:sz w:val="24"/>
        </w:rPr>
      </w:pPr>
      <w:bookmarkStart w:id="9" w:name="_Toc942"/>
      <w:bookmarkStart w:id="10" w:name="_Toc130445198"/>
      <w:bookmarkStart w:id="11" w:name="_Toc130354901"/>
      <w:bookmarkStart w:id="12" w:name="_Toc130355076"/>
      <w:bookmarkStart w:id="13" w:name="_Toc130355038"/>
      <w:r>
        <w:rPr>
          <w:rFonts w:hint="eastAsia" w:cs="仿宋_GB2312" w:asciiTheme="minorEastAsia" w:hAnsiTheme="minorEastAsia" w:eastAsiaTheme="minorEastAsia"/>
          <w:sz w:val="24"/>
        </w:rPr>
        <w:t>1.项目目标</w:t>
      </w:r>
    </w:p>
    <w:p w14:paraId="688D12A5">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平整机除尘、钢渣自磨罐除尘、板坯修磨机除尘、胶凝材料线除尘、渣处理湿电除尘等纳入排污许可的小除尘器安装仪表检测电流、风量、压差、清灰周期，并采集数据上传环保系统；经四路和经六路的生产排水口安装流量计并采集数据上传环保系统。</w:t>
      </w:r>
    </w:p>
    <w:p w14:paraId="415B126D">
      <w:pPr>
        <w:keepNext w:val="0"/>
        <w:keepLines w:val="0"/>
        <w:pageBreakBefore w:val="0"/>
        <w:widowControl w:val="0"/>
        <w:kinsoku/>
        <w:wordWrap/>
        <w:overflowPunct/>
        <w:topLinePunct w:val="0"/>
        <w:autoSpaceDE/>
        <w:autoSpaceDN/>
        <w:bidi w:val="0"/>
        <w:adjustRightInd/>
        <w:snapToGrid/>
        <w:spacing w:beforeAutospacing="0" w:after="0" w:afterAutospacing="0" w:line="420" w:lineRule="exact"/>
        <w:ind w:firstLine="480" w:firstLineChars="200"/>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2.项目主要内容</w:t>
      </w:r>
    </w:p>
    <w:p w14:paraId="4EF4E8FA">
      <w:pPr>
        <w:keepNext w:val="0"/>
        <w:keepLines w:val="0"/>
        <w:pageBreakBefore w:val="0"/>
        <w:widowControl w:val="0"/>
        <w:kinsoku/>
        <w:wordWrap/>
        <w:overflowPunct/>
        <w:topLinePunct w:val="0"/>
        <w:autoSpaceDE/>
        <w:autoSpaceDN/>
        <w:bidi w:val="0"/>
        <w:adjustRightInd/>
        <w:snapToGrid/>
        <w:spacing w:beforeAutospacing="0" w:afterAutospacing="0" w:line="420" w:lineRule="exact"/>
        <w:ind w:firstLine="480" w:firstLineChars="200"/>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本项目所涉及点位及参数如下表，投标方需确保所提供的设备能够满足补齐缺失参数的要求，同时需提供配套信号接收与处理所需的PLC控制器及相关模块等设备。</w:t>
      </w:r>
    </w:p>
    <w:tbl>
      <w:tblPr>
        <w:tblStyle w:val="32"/>
        <w:tblW w:w="4859" w:type="pct"/>
        <w:tblInd w:w="0" w:type="dxa"/>
        <w:tblLayout w:type="autofit"/>
        <w:tblCellMar>
          <w:top w:w="0" w:type="dxa"/>
          <w:left w:w="108" w:type="dxa"/>
          <w:bottom w:w="0" w:type="dxa"/>
          <w:right w:w="108" w:type="dxa"/>
        </w:tblCellMar>
      </w:tblPr>
      <w:tblGrid>
        <w:gridCol w:w="1126"/>
        <w:gridCol w:w="1176"/>
        <w:gridCol w:w="3139"/>
        <w:gridCol w:w="4135"/>
      </w:tblGrid>
      <w:tr w14:paraId="216946E8">
        <w:tblPrEx>
          <w:tblCellMar>
            <w:top w:w="0" w:type="dxa"/>
            <w:left w:w="108" w:type="dxa"/>
            <w:bottom w:w="0" w:type="dxa"/>
            <w:right w:w="108" w:type="dxa"/>
          </w:tblCellMar>
        </w:tblPrEx>
        <w:trPr>
          <w:trHeight w:val="386" w:hRule="atLeast"/>
        </w:trPr>
        <w:tc>
          <w:tcPr>
            <w:tcW w:w="5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FADEB">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b/>
                <w:bCs/>
                <w:color w:val="000000"/>
                <w:sz w:val="24"/>
              </w:rPr>
            </w:pPr>
            <w:r>
              <w:rPr>
                <w:rFonts w:hint="eastAsia" w:cs="宋体" w:asciiTheme="minorEastAsia" w:hAnsiTheme="minorEastAsia" w:eastAsiaTheme="minorEastAsia"/>
                <w:b/>
                <w:bCs/>
                <w:color w:val="000000"/>
                <w:kern w:val="0"/>
                <w:sz w:val="24"/>
                <w:lang w:bidi="ar"/>
              </w:rPr>
              <w:t>序号</w:t>
            </w:r>
          </w:p>
        </w:tc>
        <w:tc>
          <w:tcPr>
            <w:tcW w:w="59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EF3BF">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b/>
                <w:bCs/>
                <w:color w:val="000000"/>
                <w:sz w:val="24"/>
              </w:rPr>
            </w:pPr>
            <w:r>
              <w:rPr>
                <w:rFonts w:hint="eastAsia" w:cs="宋体" w:asciiTheme="minorEastAsia" w:hAnsiTheme="minorEastAsia" w:eastAsiaTheme="minorEastAsia"/>
                <w:b/>
                <w:bCs/>
                <w:color w:val="000000"/>
                <w:kern w:val="0"/>
                <w:sz w:val="24"/>
                <w:lang w:bidi="ar"/>
              </w:rPr>
              <w:t>区域</w:t>
            </w:r>
          </w:p>
        </w:tc>
        <w:tc>
          <w:tcPr>
            <w:tcW w:w="16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5C53C">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b/>
                <w:bCs/>
                <w:color w:val="000000"/>
                <w:sz w:val="24"/>
              </w:rPr>
            </w:pPr>
            <w:r>
              <w:rPr>
                <w:rFonts w:hint="eastAsia" w:cs="宋体" w:asciiTheme="minorEastAsia" w:hAnsiTheme="minorEastAsia" w:eastAsiaTheme="minorEastAsia"/>
                <w:b/>
                <w:bCs/>
                <w:color w:val="000000"/>
                <w:kern w:val="0"/>
                <w:sz w:val="24"/>
                <w:lang w:bidi="ar"/>
              </w:rPr>
              <w:t>除尘器名称</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7C475">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b/>
                <w:bCs/>
                <w:color w:val="000000"/>
                <w:sz w:val="24"/>
              </w:rPr>
            </w:pPr>
            <w:r>
              <w:rPr>
                <w:rFonts w:hint="eastAsia" w:cs="宋体" w:asciiTheme="minorEastAsia" w:hAnsiTheme="minorEastAsia" w:eastAsiaTheme="minorEastAsia"/>
                <w:b/>
                <w:bCs/>
                <w:color w:val="000000"/>
                <w:kern w:val="0"/>
                <w:sz w:val="24"/>
                <w:lang w:bidi="ar"/>
              </w:rPr>
              <w:t>缺失参数</w:t>
            </w:r>
          </w:p>
        </w:tc>
      </w:tr>
      <w:tr w14:paraId="26867962">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50F86">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w:t>
            </w:r>
          </w:p>
        </w:tc>
        <w:tc>
          <w:tcPr>
            <w:tcW w:w="59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BD6F5">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MCCR</w:t>
            </w: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FA21A">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平整机除尘</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18482">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78D91FC2">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7CD7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34A1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748A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6F632">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0A7A62DE">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B9D2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91BEB">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C26A4">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D1A68">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1DE33A45">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7B65D">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6ACF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1AD5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5127C">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7D2EDD2A">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D587F">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2</w:t>
            </w:r>
          </w:p>
        </w:tc>
        <w:tc>
          <w:tcPr>
            <w:tcW w:w="59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2BAD4">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板坯连铸</w:t>
            </w: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A90EF">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板坯修磨机除尘</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B31604">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5750FB4D">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E24B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E5E1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9122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50B223">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139D29EF">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4423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D15DE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888E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D8745">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75E574AC">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3A02D">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EF3D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01C78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67DFF">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746A3208">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1BEA6A">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3</w:t>
            </w:r>
          </w:p>
        </w:tc>
        <w:tc>
          <w:tcPr>
            <w:tcW w:w="59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7A30B2">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供料</w:t>
            </w: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14D04">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钢渣自磨罐机除尘</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FED1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2524CA4E">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772B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00D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972B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2725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74F16832">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24F3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2B1D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E953E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07CFD">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636D976D">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CA00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1F63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BE92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9E5E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6A633414">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C3142">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4</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D2947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7EF80">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立磨原料地坑1#除尘器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E2E88">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7159FFBA">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FA466">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C412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25DA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8D1D5">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66DC6559">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C040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BD5CB">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5C2A1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4A862">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67849F0B">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546E1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3F22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F236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51F9C">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76A2766B">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B4DF6E">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5</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3AFB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52358">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立磨原料地坑2#除尘器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5176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279470C7">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FE56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E137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1B45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34DB8">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3B15EBB8">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543AE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0F13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BAB6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52CF8">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3E23DE4F">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73686">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72086">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9627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CA9F1">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w:t>
            </w:r>
          </w:p>
        </w:tc>
      </w:tr>
      <w:tr w14:paraId="2CFA013B">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4E7EA">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6</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FAB6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8689FB">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立磨喂料楼除尘器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029F1E">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0A334AD2">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C5C7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656A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B05F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9CE5C">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43FCFA83">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3EB8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FA79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3606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433E1">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7C8ADD95">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7F5B4">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CC33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0662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7B66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4A642D6A">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917A9">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7</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0429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868FA">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立磨半成品库1#除尘器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FAB6D">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6F542CAD">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3EFB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B6A2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562B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DF308">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3A8BD79E">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5D923">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ACBD16">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B0A1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0F71F">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1273B931">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DB6F0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C3E3D">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59A9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34E06">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21116653">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374F1">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8</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EF03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7CF05">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立磨半成品库2#除尘器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BB1CED">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3B560C7F">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AC09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4BF54">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7C2B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ACFD4">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05B063B2">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716E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FF1C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2E8F6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851CD">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7696809D">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93CA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9419B">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C8A0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D811D">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3A475C33">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5A3B32">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9</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2424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5EFCC0">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立磨成品库1#除尘器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592130">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02063068">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182A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E591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3F0D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ADECB1">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6B7EF838">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990A6">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3982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BEE43">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B983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4D902C2C">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1B773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737C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0F6B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3F61ED">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2962887D">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A07A9">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10</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11B7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E865C">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立磨成品库2#除尘器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A4C71">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7AD36D20">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C5A0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BCE5A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66B8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C0AD1">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7476FE36">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6C6F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BCA7D">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82E5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80ED3B">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609C40B7">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CC1A3">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B0566">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7624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2A3EB">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23F8A769">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DF16F">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11</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9754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F7E04">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立磨散装仓1#除尘器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BB54B">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4A2AADBE">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42FF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CD243">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27A2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0119A">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521EE59B">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26A5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69440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78A26">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06D1E">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7FDD2EF6">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6BE8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10A8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AC8BB">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1688D">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2BAAD8BB">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F4CAD">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12</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AB35A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BA7E2">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立磨散装仓2#除尘器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1CE23B">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1EFDF6CA">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799FD">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9A23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9D9CD">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F3B3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1DB4492A">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6127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A9A83">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50AA4">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5DD5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16B490A3">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F175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11A9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373F9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C4194">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04366305">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7862B">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13</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D6CAD">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6DF7C">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立磨散装仓3#除尘器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C17AC0">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01F5983D">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8924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E2C0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F74E3">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2D945">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3F3E4AF9">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57A6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CC17D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3853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69F95">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322F88F1">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65FE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6D43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9BCD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636E5">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58983488">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406EB">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14</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BE584">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D1C42">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立磨散装仓4#除尘器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D2500">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51C653FA">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3197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9991B">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3A72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2843A">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51CD9C76">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A5A9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CDDAB">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6A6C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A3B9C">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67788D02">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CB40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1B51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694D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B7ACD">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1C7D8689">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570D3">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15</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FA3F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4A64847">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立磨烘干除尘器（半成品库底）</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12521">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6E612755">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B56E6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923DD">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6E11EB">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C08E5">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2FBFFD46">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1A58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B8E63">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EA22B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7F3CFF">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7B7F80FE">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34DD2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BD66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43F474">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2B4EA">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7D5E55C7">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C4C22">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16</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D45C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49B0E">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渣处理1#除尘</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F1E8D">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压差（洗涤塔、脱水器、湿电）</w:t>
            </w:r>
          </w:p>
        </w:tc>
      </w:tr>
      <w:tr w14:paraId="0CEC18D2">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C2B5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8393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E3B5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24174">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57593B62">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4EC21">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17</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B1609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4B70E">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渣处理2#除尘</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527D6">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压差（洗涤塔、脱水器、湿电）</w:t>
            </w:r>
          </w:p>
        </w:tc>
      </w:tr>
      <w:tr w14:paraId="04934AFF">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C111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1C49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E9E0B">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80EDDC">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5FE7AF91">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9E7662">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18</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5A67E">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9C43E">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渣处理3#除尘</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C4818">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压差（洗涤塔、脱水器、湿电）</w:t>
            </w:r>
          </w:p>
        </w:tc>
      </w:tr>
      <w:tr w14:paraId="1C67378E">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5E99D">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A6008">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9644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73BE1">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6ECB0CD1">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3A6FF">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19</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F1B4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EDD88">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渣处理4#除尘</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D39DFB">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压差（洗涤塔、脱水器）</w:t>
            </w:r>
          </w:p>
        </w:tc>
      </w:tr>
      <w:tr w14:paraId="71AC3DAB">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C27D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7F546">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D396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73D4B">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322A5116">
        <w:tblPrEx>
          <w:tblCellMar>
            <w:top w:w="0" w:type="dxa"/>
            <w:left w:w="108" w:type="dxa"/>
            <w:bottom w:w="0" w:type="dxa"/>
            <w:right w:w="108" w:type="dxa"/>
          </w:tblCellMar>
        </w:tblPrEx>
        <w:trPr>
          <w:trHeight w:val="90" w:hRule="atLeast"/>
        </w:trPr>
        <w:tc>
          <w:tcPr>
            <w:tcW w:w="5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9BBC4B">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20</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C85C96">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63CAE6">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脱硫渣二次处理线除尘</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0F9F5">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0559333D">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C06C5">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21</w:t>
            </w:r>
          </w:p>
        </w:tc>
        <w:tc>
          <w:tcPr>
            <w:tcW w:w="59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B20E61">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国兴混凝土搅拌站</w:t>
            </w: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F8222">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砂石料场1#除尘器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5E38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5FD5CA01">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8D43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94AF0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E9CD3">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2EACD">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1AB4DCA3">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E8C8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57A549">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44EF3">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D734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70D97143">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A64F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14128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D476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02CC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清灰周期（仓室离线阀开关信号）</w:t>
            </w:r>
          </w:p>
        </w:tc>
      </w:tr>
      <w:tr w14:paraId="31F59B8F">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72BA7">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22</w:t>
            </w: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EA1F37">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93CFB">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砂石料场2#除尘器</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E7DE1">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压差（进、出口压力）</w:t>
            </w:r>
          </w:p>
        </w:tc>
      </w:tr>
      <w:tr w14:paraId="571EA2C1">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894F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13CCB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5F1D0">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531B4">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电机电流</w:t>
            </w:r>
          </w:p>
        </w:tc>
      </w:tr>
      <w:tr w14:paraId="1704F129">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02FC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D91CC4">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DB0DC">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DAB2F">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风量</w:t>
            </w:r>
          </w:p>
        </w:tc>
      </w:tr>
      <w:tr w14:paraId="611DFA41">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D3BEA">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EB6BBF">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F6365">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CAD7A">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清灰周期</w:t>
            </w:r>
          </w:p>
        </w:tc>
      </w:tr>
      <w:tr w14:paraId="4FB32692">
        <w:tblPrEx>
          <w:tblCellMar>
            <w:top w:w="0" w:type="dxa"/>
            <w:left w:w="108" w:type="dxa"/>
            <w:bottom w:w="0" w:type="dxa"/>
            <w:right w:w="108" w:type="dxa"/>
          </w:tblCellMar>
        </w:tblPrEx>
        <w:trPr>
          <w:trHeight w:val="90" w:hRule="atLeast"/>
        </w:trPr>
        <w:tc>
          <w:tcPr>
            <w:tcW w:w="59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B7122">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23</w:t>
            </w:r>
          </w:p>
        </w:tc>
        <w:tc>
          <w:tcPr>
            <w:tcW w:w="59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4DA59D9">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公辅</w:t>
            </w:r>
          </w:p>
        </w:tc>
        <w:tc>
          <w:tcPr>
            <w:tcW w:w="16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E4A1C">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水处理生产排水</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AE109">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经六路排水生产流量计</w:t>
            </w:r>
          </w:p>
        </w:tc>
      </w:tr>
      <w:tr w14:paraId="1BA932FF">
        <w:tblPrEx>
          <w:tblCellMar>
            <w:top w:w="0" w:type="dxa"/>
            <w:left w:w="108" w:type="dxa"/>
            <w:bottom w:w="0" w:type="dxa"/>
            <w:right w:w="108" w:type="dxa"/>
          </w:tblCellMar>
        </w:tblPrEx>
        <w:trPr>
          <w:trHeight w:val="90" w:hRule="atLeast"/>
        </w:trPr>
        <w:tc>
          <w:tcPr>
            <w:tcW w:w="594"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ABC41">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5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8CE9F2">
            <w:pPr>
              <w:keepNext w:val="0"/>
              <w:keepLines w:val="0"/>
              <w:pageBreakBefore w:val="0"/>
              <w:widowControl/>
              <w:kinsoku/>
              <w:wordWrap/>
              <w:overflowPunct/>
              <w:topLinePunct w:val="0"/>
              <w:autoSpaceDE/>
              <w:autoSpaceDN/>
              <w:bidi w:val="0"/>
              <w:adjustRightInd/>
              <w:snapToGrid/>
              <w:spacing w:after="0" w:line="240" w:lineRule="exact"/>
              <w:jc w:val="center"/>
              <w:rPr>
                <w:rFonts w:cs="宋体" w:asciiTheme="minorEastAsia" w:hAnsiTheme="minorEastAsia" w:eastAsiaTheme="minorEastAsia"/>
                <w:color w:val="000000"/>
                <w:sz w:val="24"/>
              </w:rPr>
            </w:pPr>
          </w:p>
        </w:tc>
        <w:tc>
          <w:tcPr>
            <w:tcW w:w="16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37760">
            <w:pPr>
              <w:keepNext w:val="0"/>
              <w:keepLines w:val="0"/>
              <w:pageBreakBefore w:val="0"/>
              <w:widowControl/>
              <w:kinsoku/>
              <w:wordWrap/>
              <w:overflowPunct/>
              <w:topLinePunct w:val="0"/>
              <w:autoSpaceDE/>
              <w:autoSpaceDN/>
              <w:bidi w:val="0"/>
              <w:adjustRightInd/>
              <w:snapToGrid/>
              <w:spacing w:after="0" w:line="240" w:lineRule="exact"/>
              <w:jc w:val="center"/>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水处理生产排水</w:t>
            </w:r>
          </w:p>
        </w:tc>
        <w:tc>
          <w:tcPr>
            <w:tcW w:w="21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45EA4">
            <w:pPr>
              <w:keepNext w:val="0"/>
              <w:keepLines w:val="0"/>
              <w:pageBreakBefore w:val="0"/>
              <w:widowControl/>
              <w:kinsoku/>
              <w:wordWrap/>
              <w:overflowPunct/>
              <w:topLinePunct w:val="0"/>
              <w:autoSpaceDE/>
              <w:autoSpaceDN/>
              <w:bidi w:val="0"/>
              <w:adjustRightInd/>
              <w:snapToGrid/>
              <w:spacing w:after="0" w:line="240" w:lineRule="exact"/>
              <w:jc w:val="left"/>
              <w:textAlignment w:val="center"/>
              <w:rPr>
                <w:rFonts w:cs="宋体" w:asciiTheme="minorEastAsia" w:hAnsiTheme="minorEastAsia" w:eastAsiaTheme="minorEastAsia"/>
                <w:color w:val="000000"/>
                <w:sz w:val="24"/>
              </w:rPr>
            </w:pPr>
            <w:r>
              <w:rPr>
                <w:rFonts w:hint="eastAsia" w:cs="宋体" w:asciiTheme="minorEastAsia" w:hAnsiTheme="minorEastAsia" w:eastAsiaTheme="minorEastAsia"/>
                <w:color w:val="000000"/>
                <w:kern w:val="0"/>
                <w:sz w:val="24"/>
                <w:lang w:bidi="ar"/>
              </w:rPr>
              <w:t>经四路排水生产流量计</w:t>
            </w:r>
          </w:p>
        </w:tc>
      </w:tr>
    </w:tbl>
    <w:p w14:paraId="35AB5A9F">
      <w:pPr>
        <w:pStyle w:val="2"/>
        <w:keepNext w:val="0"/>
        <w:keepLines w:val="0"/>
        <w:pageBreakBefore w:val="0"/>
        <w:widowControl w:val="0"/>
        <w:kinsoku/>
        <w:wordWrap/>
        <w:overflowPunct/>
        <w:topLinePunct w:val="0"/>
        <w:bidi w:val="0"/>
        <w:spacing w:before="0" w:beforeAutospacing="0" w:after="0" w:afterAutospacing="0" w:line="420" w:lineRule="exact"/>
        <w:rPr>
          <w:rFonts w:cs="仿宋_GB2312" w:asciiTheme="minorEastAsia" w:hAnsiTheme="minorEastAsia" w:eastAsiaTheme="minorEastAsia"/>
          <w:sz w:val="24"/>
        </w:rPr>
      </w:pPr>
      <w:r>
        <w:rPr>
          <w:rFonts w:hint="eastAsia" w:cs="仿宋_GB2312" w:asciiTheme="minorEastAsia" w:hAnsiTheme="minorEastAsia" w:eastAsiaTheme="minorEastAsia"/>
          <w:sz w:val="24"/>
        </w:rPr>
        <w:t>四、技术要求及标准</w:t>
      </w:r>
      <w:bookmarkEnd w:id="9"/>
    </w:p>
    <w:p w14:paraId="4B3E7DEF">
      <w:pPr>
        <w:keepNext w:val="0"/>
        <w:keepLines w:val="0"/>
        <w:pageBreakBefore w:val="0"/>
        <w:widowControl w:val="0"/>
        <w:kinsoku/>
        <w:wordWrap/>
        <w:overflowPunct/>
        <w:topLinePunct w:val="0"/>
        <w:bidi w:val="0"/>
        <w:spacing w:after="0" w:line="420" w:lineRule="exact"/>
        <w:ind w:firstLine="482" w:firstLineChars="200"/>
        <w:rPr>
          <w:rFonts w:cs="仿宋_GB2312" w:asciiTheme="minorEastAsia" w:hAnsiTheme="minorEastAsia" w:eastAsiaTheme="minorEastAsia"/>
          <w:b/>
          <w:bCs/>
          <w:color w:val="000000"/>
          <w:sz w:val="24"/>
        </w:rPr>
      </w:pPr>
      <w:r>
        <w:rPr>
          <w:rFonts w:hint="eastAsia" w:cs="仿宋_GB2312" w:asciiTheme="minorEastAsia" w:hAnsiTheme="minorEastAsia" w:eastAsiaTheme="minorEastAsia"/>
          <w:b/>
          <w:bCs/>
          <w:color w:val="000000"/>
          <w:sz w:val="24"/>
        </w:rPr>
        <w:t>4.1 基本要求</w:t>
      </w:r>
    </w:p>
    <w:p w14:paraId="668156AF">
      <w:pPr>
        <w:keepNext w:val="0"/>
        <w:keepLines w:val="0"/>
        <w:pageBreakBefore w:val="0"/>
        <w:widowControl w:val="0"/>
        <w:kinsoku/>
        <w:wordWrap/>
        <w:overflowPunct/>
        <w:topLinePunct w:val="0"/>
        <w:bidi w:val="0"/>
        <w:spacing w:after="0" w:line="420" w:lineRule="exact"/>
        <w:ind w:firstLine="480" w:firstLineChars="20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卖方所供设备，必须按照提供的图纸要求，保证正规厂家生产，保证质量，要求质保期为1年，质保期内，卖方免费提供维修备件。</w:t>
      </w:r>
    </w:p>
    <w:p w14:paraId="64C72391">
      <w:pPr>
        <w:keepNext w:val="0"/>
        <w:keepLines w:val="0"/>
        <w:pageBreakBefore w:val="0"/>
        <w:widowControl w:val="0"/>
        <w:kinsoku/>
        <w:wordWrap/>
        <w:overflowPunct/>
        <w:topLinePunct w:val="0"/>
        <w:bidi w:val="0"/>
        <w:spacing w:after="0" w:line="420" w:lineRule="exact"/>
        <w:ind w:firstLine="480" w:firstLineChars="20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卖方保证所提供的货物是全新的，未使用过的，采用最新设计和合适的材料制造的，并在各个方面符合合同规定的，质量合格、性能可靠的产品。卖方保证所提供的设备经过正确安装、调试后达到合同规定的要求，否则赔偿甲方的经济损失。</w:t>
      </w:r>
    </w:p>
    <w:p w14:paraId="253B2273">
      <w:pPr>
        <w:keepNext w:val="0"/>
        <w:keepLines w:val="0"/>
        <w:pageBreakBefore w:val="0"/>
        <w:widowControl w:val="0"/>
        <w:kinsoku/>
        <w:wordWrap/>
        <w:overflowPunct/>
        <w:topLinePunct w:val="0"/>
        <w:bidi w:val="0"/>
        <w:spacing w:after="0" w:line="420" w:lineRule="exact"/>
        <w:ind w:firstLine="480" w:firstLineChars="20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卖方保证对所供设备在合同规定的质量保证期内的性能，质量，可靠性及使用寿命负责。如发现所供货物的数量，质量或其他技术性能、指标与技术协议、图纸、相关国家标准所描述的不一致，或发现所用的材料是有缺陷的，在接到甲方的书面通知后，及时予以修复或更换，卖方保证所供系统的完整性。</w:t>
      </w:r>
    </w:p>
    <w:p w14:paraId="61FD5257">
      <w:pPr>
        <w:keepNext w:val="0"/>
        <w:keepLines w:val="0"/>
        <w:pageBreakBefore w:val="0"/>
        <w:widowControl w:val="0"/>
        <w:kinsoku/>
        <w:wordWrap/>
        <w:overflowPunct/>
        <w:topLinePunct w:val="0"/>
        <w:autoSpaceDE w:val="0"/>
        <w:autoSpaceDN w:val="0"/>
        <w:bidi w:val="0"/>
        <w:adjustRightInd w:val="0"/>
        <w:spacing w:line="420" w:lineRule="exact"/>
        <w:ind w:firstLine="482" w:firstLineChars="200"/>
        <w:rPr>
          <w:rFonts w:cs="宋体" w:asciiTheme="minorEastAsia" w:hAnsiTheme="minorEastAsia" w:eastAsiaTheme="minorEastAsia"/>
          <w:b/>
          <w:sz w:val="24"/>
        </w:rPr>
      </w:pPr>
      <w:r>
        <w:rPr>
          <w:rFonts w:hint="eastAsia" w:cs="宋体" w:asciiTheme="minorEastAsia" w:hAnsiTheme="minorEastAsia" w:eastAsiaTheme="minorEastAsia"/>
          <w:b/>
          <w:sz w:val="24"/>
        </w:rPr>
        <w:t>4.2 技术要求</w:t>
      </w:r>
    </w:p>
    <w:p w14:paraId="01125166">
      <w:pPr>
        <w:keepNext w:val="0"/>
        <w:keepLines w:val="0"/>
        <w:pageBreakBefore w:val="0"/>
        <w:widowControl w:val="0"/>
        <w:kinsoku/>
        <w:wordWrap/>
        <w:overflowPunct/>
        <w:topLinePunct w:val="0"/>
        <w:bidi w:val="0"/>
        <w:spacing w:after="0" w:line="420" w:lineRule="exact"/>
        <w:ind w:firstLine="480" w:firstLineChars="20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4.2.1 仪表设计规格参数：（差压变送器）输出信号：4-20mADC，HART通讯，检测范围：0-3Kpa工况压力：1.0±.05MPa 过程连接：带1/2NPT内螺纹的过程接头；电气连接：M20×1.5内螺纹,两个电气接口带一个盲塞，显示表头：带量程设置开关的数字显示表，安装支架：带水平支架，左侧高压，测量介质：空气 介质温度：0-40℃。</w:t>
      </w:r>
    </w:p>
    <w:p w14:paraId="00154EDA">
      <w:pPr>
        <w:keepNext w:val="0"/>
        <w:keepLines w:val="0"/>
        <w:pageBreakBefore w:val="0"/>
        <w:widowControl w:val="0"/>
        <w:kinsoku/>
        <w:wordWrap/>
        <w:overflowPunct/>
        <w:topLinePunct w:val="0"/>
        <w:bidi w:val="0"/>
        <w:spacing w:after="0" w:line="420" w:lineRule="exact"/>
        <w:ind w:firstLine="480" w:firstLineChars="20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4.2.2 仪表设计规格参数：风量检测仪表（含防堵反吹装置），IP65、24VDC、支持4-20mA电流信号、精度：±2% FS、风速范围：0–30 m/s、介质温度：-40℃～+80℃、防堵、抗粉尘。</w:t>
      </w:r>
    </w:p>
    <w:p w14:paraId="6D6C95C6">
      <w:pPr>
        <w:keepNext w:val="0"/>
        <w:keepLines w:val="0"/>
        <w:pageBreakBefore w:val="0"/>
        <w:widowControl w:val="0"/>
        <w:kinsoku/>
        <w:wordWrap/>
        <w:overflowPunct/>
        <w:topLinePunct w:val="0"/>
        <w:bidi w:val="0"/>
        <w:spacing w:after="0" w:line="420" w:lineRule="exact"/>
        <w:ind w:firstLine="480" w:firstLineChars="20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4.2.3 仪表设计规格参数：窨井多普勒流量计（含太阳能供电系统），仪表箱；流速测量量程：0.01m/s~7.00m/s，精度1%；水位测量 量程：0.05m~10.00m；精度：±0.5%；分辨率：2mm；供电支持市电/太阳能/锂电池供电；宽电压适配（7.5~15V DC）；支持无线传输，可输出 4~20mA 模拟量信号。</w:t>
      </w:r>
    </w:p>
    <w:p w14:paraId="3C66C3EF">
      <w:pPr>
        <w:keepNext w:val="0"/>
        <w:keepLines w:val="0"/>
        <w:pageBreakBefore w:val="0"/>
        <w:widowControl w:val="0"/>
        <w:kinsoku/>
        <w:wordWrap/>
        <w:overflowPunct/>
        <w:topLinePunct w:val="0"/>
        <w:bidi w:val="0"/>
        <w:spacing w:line="420" w:lineRule="exact"/>
        <w:ind w:firstLine="480" w:firstLineChars="200"/>
        <w:outlineLvl w:val="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w:t>
      </w:r>
      <w:r>
        <w:rPr>
          <w:rFonts w:cs="仿宋_GB2312" w:asciiTheme="minorEastAsia" w:hAnsiTheme="minorEastAsia" w:eastAsiaTheme="minorEastAsia"/>
          <w:color w:val="000000"/>
          <w:sz w:val="24"/>
        </w:rPr>
        <w:t xml:space="preserve">4 </w:t>
      </w:r>
      <w:r>
        <w:rPr>
          <w:rFonts w:hint="eastAsia" w:cs="仿宋_GB2312" w:asciiTheme="minorEastAsia" w:hAnsiTheme="minorEastAsia" w:eastAsiaTheme="minorEastAsia"/>
          <w:color w:val="000000"/>
          <w:sz w:val="24"/>
        </w:rPr>
        <w:t>仪表</w:t>
      </w:r>
      <w:r>
        <w:rPr>
          <w:rFonts w:cs="仿宋_GB2312" w:asciiTheme="minorEastAsia" w:hAnsiTheme="minorEastAsia" w:eastAsiaTheme="minorEastAsia"/>
          <w:color w:val="000000"/>
          <w:sz w:val="24"/>
        </w:rPr>
        <w:t>测量精度应符合行业标准和实际使用需求。考虑温度、压力变化对测量精度的影响，要求仪表具备温度、压力补偿功能。</w:t>
      </w:r>
    </w:p>
    <w:p w14:paraId="3A180784">
      <w:pPr>
        <w:keepNext w:val="0"/>
        <w:keepLines w:val="0"/>
        <w:pageBreakBefore w:val="0"/>
        <w:widowControl w:val="0"/>
        <w:kinsoku/>
        <w:wordWrap/>
        <w:overflowPunct/>
        <w:topLinePunct w:val="0"/>
        <w:bidi w:val="0"/>
        <w:spacing w:line="420" w:lineRule="exact"/>
        <w:ind w:firstLine="480" w:firstLineChars="200"/>
        <w:outlineLvl w:val="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w:t>
      </w:r>
      <w:r>
        <w:rPr>
          <w:rFonts w:cs="仿宋_GB2312" w:asciiTheme="minorEastAsia" w:hAnsiTheme="minorEastAsia" w:eastAsiaTheme="minorEastAsia"/>
          <w:color w:val="000000"/>
          <w:sz w:val="24"/>
        </w:rPr>
        <w:t>5</w:t>
      </w:r>
      <w:r>
        <w:rPr>
          <w:rFonts w:hint="eastAsia" w:cs="仿宋_GB2312" w:asciiTheme="minorEastAsia" w:hAnsiTheme="minorEastAsia" w:eastAsiaTheme="minorEastAsia"/>
          <w:color w:val="000000"/>
          <w:sz w:val="24"/>
        </w:rPr>
        <w:t>仪表</w:t>
      </w:r>
      <w:r>
        <w:rPr>
          <w:rFonts w:cs="仿宋_GB2312" w:asciiTheme="minorEastAsia" w:hAnsiTheme="minorEastAsia" w:eastAsiaTheme="minorEastAsia"/>
          <w:color w:val="000000"/>
          <w:sz w:val="24"/>
        </w:rPr>
        <w:t>测量范围</w:t>
      </w:r>
      <w:r>
        <w:rPr>
          <w:rFonts w:hint="eastAsia" w:cs="仿宋_GB2312" w:asciiTheme="minorEastAsia" w:hAnsiTheme="minorEastAsia" w:eastAsiaTheme="minorEastAsia"/>
          <w:color w:val="000000"/>
          <w:sz w:val="24"/>
        </w:rPr>
        <w:t>应</w:t>
      </w:r>
      <w:r>
        <w:rPr>
          <w:rFonts w:cs="仿宋_GB2312" w:asciiTheme="minorEastAsia" w:hAnsiTheme="minorEastAsia" w:eastAsiaTheme="minorEastAsia"/>
          <w:color w:val="000000"/>
          <w:sz w:val="24"/>
        </w:rPr>
        <w:t>能够</w:t>
      </w:r>
      <w:r>
        <w:rPr>
          <w:rFonts w:hint="eastAsia" w:cs="仿宋_GB2312" w:asciiTheme="minorEastAsia" w:hAnsiTheme="minorEastAsia" w:eastAsiaTheme="minorEastAsia"/>
          <w:color w:val="000000"/>
          <w:sz w:val="24"/>
        </w:rPr>
        <w:t>在</w:t>
      </w:r>
      <w:r>
        <w:rPr>
          <w:rFonts w:cs="仿宋_GB2312" w:asciiTheme="minorEastAsia" w:hAnsiTheme="minorEastAsia" w:eastAsiaTheme="minorEastAsia"/>
          <w:color w:val="000000"/>
          <w:sz w:val="24"/>
        </w:rPr>
        <w:t>最小和最大流量范围</w:t>
      </w:r>
      <w:r>
        <w:rPr>
          <w:rFonts w:hint="eastAsia" w:cs="仿宋_GB2312" w:asciiTheme="minorEastAsia" w:hAnsiTheme="minorEastAsia" w:eastAsiaTheme="minorEastAsia"/>
          <w:color w:val="000000"/>
          <w:sz w:val="24"/>
        </w:rPr>
        <w:t>内</w:t>
      </w:r>
      <w:r>
        <w:rPr>
          <w:rFonts w:cs="仿宋_GB2312" w:asciiTheme="minorEastAsia" w:hAnsiTheme="minorEastAsia" w:eastAsiaTheme="minorEastAsia"/>
          <w:color w:val="000000"/>
          <w:sz w:val="24"/>
        </w:rPr>
        <w:t>准确测量，以满足不同规模的气体使用场景。对于可能出现的流量波动较大的情况，要确保仪表在全量程范围内都能稳定可靠地工作。</w:t>
      </w:r>
    </w:p>
    <w:p w14:paraId="55B84AC2">
      <w:pPr>
        <w:keepNext w:val="0"/>
        <w:keepLines w:val="0"/>
        <w:pageBreakBefore w:val="0"/>
        <w:widowControl w:val="0"/>
        <w:kinsoku/>
        <w:wordWrap/>
        <w:overflowPunct/>
        <w:topLinePunct w:val="0"/>
        <w:bidi w:val="0"/>
        <w:spacing w:line="420" w:lineRule="exact"/>
        <w:ind w:firstLine="480" w:firstLineChars="200"/>
        <w:outlineLvl w:val="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w:t>
      </w:r>
      <w:r>
        <w:rPr>
          <w:rFonts w:cs="仿宋_GB2312" w:asciiTheme="minorEastAsia" w:hAnsiTheme="minorEastAsia" w:eastAsiaTheme="minorEastAsia"/>
          <w:color w:val="000000"/>
          <w:sz w:val="24"/>
        </w:rPr>
        <w:t xml:space="preserve">6 </w:t>
      </w:r>
      <w:r>
        <w:rPr>
          <w:rFonts w:hint="eastAsia" w:cs="仿宋_GB2312" w:asciiTheme="minorEastAsia" w:hAnsiTheme="minorEastAsia" w:eastAsiaTheme="minorEastAsia"/>
          <w:color w:val="000000"/>
          <w:sz w:val="24"/>
        </w:rPr>
        <w:t>仪表应充分</w:t>
      </w:r>
      <w:r>
        <w:rPr>
          <w:rFonts w:cs="仿宋_GB2312" w:asciiTheme="minorEastAsia" w:hAnsiTheme="minorEastAsia" w:eastAsiaTheme="minorEastAsia"/>
          <w:color w:val="000000"/>
          <w:sz w:val="24"/>
        </w:rPr>
        <w:t>考虑安装地点的环境条件，如温度、湿度、海拔高度等。仪表应能在规定的环境范围内正常工作，并具有相应的防护等级。</w:t>
      </w:r>
    </w:p>
    <w:p w14:paraId="1F25CCE7">
      <w:pPr>
        <w:keepNext w:val="0"/>
        <w:keepLines w:val="0"/>
        <w:pageBreakBefore w:val="0"/>
        <w:widowControl w:val="0"/>
        <w:kinsoku/>
        <w:wordWrap/>
        <w:overflowPunct/>
        <w:topLinePunct w:val="0"/>
        <w:bidi w:val="0"/>
        <w:spacing w:line="420" w:lineRule="exact"/>
        <w:ind w:firstLine="480" w:firstLineChars="200"/>
        <w:outlineLvl w:val="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w:t>
      </w:r>
      <w:r>
        <w:rPr>
          <w:rFonts w:cs="仿宋_GB2312" w:asciiTheme="minorEastAsia" w:hAnsiTheme="minorEastAsia" w:eastAsiaTheme="minorEastAsia"/>
          <w:color w:val="000000"/>
          <w:sz w:val="24"/>
        </w:rPr>
        <w:t>7 仪表</w:t>
      </w:r>
      <w:r>
        <w:rPr>
          <w:rFonts w:hint="eastAsia" w:cs="仿宋_GB2312" w:asciiTheme="minorEastAsia" w:hAnsiTheme="minorEastAsia" w:eastAsiaTheme="minorEastAsia"/>
          <w:color w:val="000000"/>
          <w:sz w:val="24"/>
        </w:rPr>
        <w:t>应</w:t>
      </w:r>
      <w:r>
        <w:rPr>
          <w:rFonts w:cs="仿宋_GB2312" w:asciiTheme="minorEastAsia" w:hAnsiTheme="minorEastAsia" w:eastAsiaTheme="minorEastAsia"/>
          <w:color w:val="000000"/>
          <w:sz w:val="24"/>
        </w:rPr>
        <w:t>支持</w:t>
      </w:r>
      <w:r>
        <w:rPr>
          <w:rFonts w:hint="eastAsia" w:cs="仿宋_GB2312" w:asciiTheme="minorEastAsia" w:hAnsiTheme="minorEastAsia" w:eastAsiaTheme="minorEastAsia"/>
          <w:color w:val="000000"/>
          <w:sz w:val="24"/>
        </w:rPr>
        <w:t>包括</w:t>
      </w:r>
      <w:r>
        <w:rPr>
          <w:rFonts w:cs="仿宋_GB2312" w:asciiTheme="minorEastAsia" w:hAnsiTheme="minorEastAsia" w:eastAsiaTheme="minorEastAsia"/>
          <w:color w:val="000000"/>
          <w:sz w:val="24"/>
        </w:rPr>
        <w:t>RS485、HART</w:t>
      </w:r>
      <w:r>
        <w:rPr>
          <w:rFonts w:hint="eastAsia" w:cs="仿宋_GB2312" w:asciiTheme="minorEastAsia" w:hAnsiTheme="minorEastAsia" w:eastAsiaTheme="minorEastAsia"/>
          <w:color w:val="000000"/>
          <w:sz w:val="24"/>
        </w:rPr>
        <w:t>以及4~20mA信号</w:t>
      </w:r>
      <w:r>
        <w:rPr>
          <w:rFonts w:cs="仿宋_GB2312" w:asciiTheme="minorEastAsia" w:hAnsiTheme="minorEastAsia" w:eastAsiaTheme="minorEastAsia"/>
          <w:color w:val="000000"/>
          <w:sz w:val="24"/>
        </w:rPr>
        <w:t>等</w:t>
      </w:r>
      <w:r>
        <w:rPr>
          <w:rFonts w:hint="eastAsia" w:cs="仿宋_GB2312" w:asciiTheme="minorEastAsia" w:hAnsiTheme="minorEastAsia" w:eastAsiaTheme="minorEastAsia"/>
          <w:color w:val="000000"/>
          <w:sz w:val="24"/>
        </w:rPr>
        <w:t>连接</w:t>
      </w:r>
      <w:r>
        <w:rPr>
          <w:rFonts w:cs="仿宋_GB2312" w:asciiTheme="minorEastAsia" w:hAnsiTheme="minorEastAsia" w:eastAsiaTheme="minorEastAsia"/>
          <w:color w:val="000000"/>
          <w:sz w:val="24"/>
        </w:rPr>
        <w:t>，以便与现有或未来的自动化系统进行集成。</w:t>
      </w:r>
      <w:r>
        <w:rPr>
          <w:rFonts w:hint="eastAsia" w:cs="仿宋_GB2312" w:asciiTheme="minorEastAsia" w:hAnsiTheme="minorEastAsia" w:eastAsiaTheme="minorEastAsia"/>
          <w:color w:val="000000"/>
          <w:sz w:val="24"/>
        </w:rPr>
        <w:t>需</w:t>
      </w:r>
      <w:r>
        <w:rPr>
          <w:rFonts w:cs="仿宋_GB2312" w:asciiTheme="minorEastAsia" w:hAnsiTheme="minorEastAsia" w:eastAsiaTheme="minorEastAsia"/>
          <w:color w:val="000000"/>
          <w:sz w:val="24"/>
        </w:rPr>
        <w:t>确保通信的稳定性和可靠性。</w:t>
      </w:r>
    </w:p>
    <w:p w14:paraId="2B56F5D4">
      <w:pPr>
        <w:keepNext w:val="0"/>
        <w:keepLines w:val="0"/>
        <w:pageBreakBefore w:val="0"/>
        <w:widowControl w:val="0"/>
        <w:kinsoku/>
        <w:wordWrap/>
        <w:overflowPunct/>
        <w:topLinePunct w:val="0"/>
        <w:bidi w:val="0"/>
        <w:spacing w:line="420" w:lineRule="exact"/>
        <w:ind w:firstLine="480" w:firstLineChars="200"/>
        <w:outlineLvl w:val="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w:t>
      </w:r>
      <w:r>
        <w:rPr>
          <w:rFonts w:cs="仿宋_GB2312" w:asciiTheme="minorEastAsia" w:hAnsiTheme="minorEastAsia" w:eastAsiaTheme="minorEastAsia"/>
          <w:color w:val="000000"/>
          <w:sz w:val="24"/>
        </w:rPr>
        <w:t>8仪表应具备清晰可读的显示屏，能实时显示流量、累计流量、压力、温度等重要参数。</w:t>
      </w:r>
    </w:p>
    <w:p w14:paraId="123D09B6">
      <w:pPr>
        <w:keepNext w:val="0"/>
        <w:keepLines w:val="0"/>
        <w:pageBreakBefore w:val="0"/>
        <w:widowControl w:val="0"/>
        <w:kinsoku/>
        <w:wordWrap/>
        <w:overflowPunct/>
        <w:topLinePunct w:val="0"/>
        <w:bidi w:val="0"/>
        <w:spacing w:line="420" w:lineRule="exact"/>
        <w:ind w:firstLine="480" w:firstLineChars="200"/>
        <w:outlineLvl w:val="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w:t>
      </w:r>
      <w:r>
        <w:rPr>
          <w:rFonts w:cs="仿宋_GB2312" w:asciiTheme="minorEastAsia" w:hAnsiTheme="minorEastAsia" w:eastAsiaTheme="minorEastAsia"/>
          <w:color w:val="000000"/>
          <w:sz w:val="24"/>
        </w:rPr>
        <w:t xml:space="preserve">9 </w:t>
      </w:r>
      <w:r>
        <w:rPr>
          <w:rFonts w:hint="eastAsia" w:cs="仿宋_GB2312" w:asciiTheme="minorEastAsia" w:hAnsiTheme="minorEastAsia" w:eastAsiaTheme="minorEastAsia"/>
          <w:color w:val="000000"/>
          <w:sz w:val="24"/>
        </w:rPr>
        <w:t>仪表</w:t>
      </w:r>
      <w:r>
        <w:rPr>
          <w:rFonts w:cs="仿宋_GB2312" w:asciiTheme="minorEastAsia" w:hAnsiTheme="minorEastAsia" w:eastAsiaTheme="minorEastAsia"/>
          <w:color w:val="000000"/>
          <w:sz w:val="24"/>
        </w:rPr>
        <w:t>操作应简便易行，可进行参数设置、数据查询、故障诊断等操作。</w:t>
      </w:r>
    </w:p>
    <w:p w14:paraId="046DE765">
      <w:pPr>
        <w:keepNext w:val="0"/>
        <w:keepLines w:val="0"/>
        <w:pageBreakBefore w:val="0"/>
        <w:widowControl w:val="0"/>
        <w:kinsoku/>
        <w:wordWrap/>
        <w:overflowPunct/>
        <w:topLinePunct w:val="0"/>
        <w:bidi w:val="0"/>
        <w:spacing w:line="420" w:lineRule="exact"/>
        <w:ind w:firstLine="480" w:firstLineChars="200"/>
        <w:outlineLvl w:val="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w:t>
      </w:r>
      <w:r>
        <w:rPr>
          <w:rFonts w:cs="仿宋_GB2312" w:asciiTheme="minorEastAsia" w:hAnsiTheme="minorEastAsia" w:eastAsiaTheme="minorEastAsia"/>
          <w:color w:val="000000"/>
          <w:sz w:val="24"/>
        </w:rPr>
        <w:t>10</w:t>
      </w:r>
      <w:r>
        <w:rPr>
          <w:rFonts w:hint="eastAsia" w:cs="仿宋_GB2312" w:asciiTheme="minorEastAsia" w:hAnsiTheme="minorEastAsia" w:eastAsiaTheme="minorEastAsia"/>
          <w:color w:val="000000"/>
          <w:sz w:val="24"/>
        </w:rPr>
        <w:t>仪表</w:t>
      </w:r>
      <w:r>
        <w:rPr>
          <w:rFonts w:cs="仿宋_GB2312" w:asciiTheme="minorEastAsia" w:hAnsiTheme="minorEastAsia" w:eastAsiaTheme="minorEastAsia"/>
          <w:color w:val="000000"/>
          <w:sz w:val="24"/>
        </w:rPr>
        <w:t>的外壳、传感器等关键部件采用高质量的材料，具有良好的耐腐蚀性、耐压性和耐磨性。确保仪表的密封性、稳定性和耐用性。</w:t>
      </w:r>
    </w:p>
    <w:p w14:paraId="1C53DED7">
      <w:pPr>
        <w:keepNext w:val="0"/>
        <w:keepLines w:val="0"/>
        <w:pageBreakBefore w:val="0"/>
        <w:widowControl w:val="0"/>
        <w:kinsoku/>
        <w:wordWrap/>
        <w:overflowPunct/>
        <w:topLinePunct w:val="0"/>
        <w:bidi w:val="0"/>
        <w:spacing w:line="420" w:lineRule="exact"/>
        <w:ind w:firstLine="480" w:firstLineChars="200"/>
        <w:outlineLvl w:val="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4.2.</w:t>
      </w:r>
      <w:r>
        <w:rPr>
          <w:rFonts w:cs="仿宋_GB2312" w:asciiTheme="minorEastAsia" w:hAnsiTheme="minorEastAsia" w:eastAsiaTheme="minorEastAsia"/>
          <w:color w:val="000000"/>
          <w:sz w:val="24"/>
        </w:rPr>
        <w:t>11仪表</w:t>
      </w:r>
      <w:r>
        <w:rPr>
          <w:rFonts w:hint="eastAsia" w:cs="仿宋_GB2312" w:asciiTheme="minorEastAsia" w:hAnsiTheme="minorEastAsia" w:eastAsiaTheme="minorEastAsia"/>
          <w:color w:val="000000"/>
          <w:sz w:val="24"/>
        </w:rPr>
        <w:t>应</w:t>
      </w:r>
      <w:r>
        <w:rPr>
          <w:rFonts w:cs="仿宋_GB2312" w:asciiTheme="minorEastAsia" w:hAnsiTheme="minorEastAsia" w:eastAsiaTheme="minorEastAsia"/>
          <w:color w:val="000000"/>
          <w:sz w:val="24"/>
        </w:rPr>
        <w:t>具备相关的认证证书，如计量器具型式批准证书、防爆认证等。</w:t>
      </w:r>
    </w:p>
    <w:p w14:paraId="29938DAF">
      <w:pPr>
        <w:keepNext w:val="0"/>
        <w:keepLines w:val="0"/>
        <w:pageBreakBefore w:val="0"/>
        <w:widowControl w:val="0"/>
        <w:kinsoku/>
        <w:wordWrap/>
        <w:overflowPunct/>
        <w:topLinePunct w:val="0"/>
        <w:bidi w:val="0"/>
        <w:spacing w:line="420" w:lineRule="exact"/>
        <w:ind w:firstLine="300" w:firstLineChars="100"/>
        <w:outlineLvl w:val="0"/>
        <w:rPr>
          <w:rFonts w:cs="仿宋_GB2312" w:asciiTheme="minorEastAsia" w:hAnsiTheme="minorEastAsia" w:eastAsiaTheme="minorEastAsia"/>
          <w:color w:val="000000"/>
          <w:sz w:val="24"/>
        </w:rPr>
      </w:pPr>
      <w:r>
        <w:rPr>
          <w:rFonts w:hint="eastAsia" w:ascii="方正仿宋_GB18030" w:hAnsi="方正仿宋_GB18030" w:eastAsia="方正仿宋_GB18030" w:cs="方正仿宋_GB18030"/>
          <w:sz w:val="30"/>
          <w:szCs w:val="30"/>
        </w:rPr>
        <w:t>★</w:t>
      </w:r>
      <w:r>
        <w:rPr>
          <w:rFonts w:hint="eastAsia" w:cs="仿宋_GB2312" w:asciiTheme="minorEastAsia" w:hAnsiTheme="minorEastAsia" w:eastAsiaTheme="minorEastAsia"/>
          <w:color w:val="000000"/>
          <w:sz w:val="24"/>
        </w:rPr>
        <w:t>4.2.</w:t>
      </w:r>
      <w:r>
        <w:rPr>
          <w:rFonts w:cs="仿宋_GB2312" w:asciiTheme="minorEastAsia" w:hAnsiTheme="minorEastAsia" w:eastAsiaTheme="minorEastAsia"/>
          <w:color w:val="000000"/>
          <w:sz w:val="24"/>
        </w:rPr>
        <w:t xml:space="preserve">12 </w:t>
      </w:r>
      <w:r>
        <w:rPr>
          <w:rFonts w:hint="eastAsia" w:cs="仿宋_GB2312" w:asciiTheme="minorEastAsia" w:hAnsiTheme="minorEastAsia" w:eastAsiaTheme="minorEastAsia"/>
          <w:color w:val="000000"/>
          <w:sz w:val="24"/>
        </w:rPr>
        <w:t>仪表应有</w:t>
      </w:r>
      <w:r>
        <w:rPr>
          <w:rFonts w:cs="仿宋_GB2312" w:asciiTheme="minorEastAsia" w:hAnsiTheme="minorEastAsia" w:eastAsiaTheme="minorEastAsia"/>
          <w:color w:val="000000"/>
          <w:sz w:val="24"/>
        </w:rPr>
        <w:t>产品合格证、出厂检验报告，确保仪表的质量符合标准。</w:t>
      </w:r>
    </w:p>
    <w:p w14:paraId="102185F0">
      <w:pPr>
        <w:keepNext w:val="0"/>
        <w:keepLines w:val="0"/>
        <w:pageBreakBefore w:val="0"/>
        <w:widowControl w:val="0"/>
        <w:kinsoku/>
        <w:wordWrap/>
        <w:overflowPunct/>
        <w:topLinePunct w:val="0"/>
        <w:bidi w:val="0"/>
        <w:spacing w:after="0" w:line="420" w:lineRule="exact"/>
        <w:ind w:firstLine="482" w:firstLineChars="200"/>
        <w:rPr>
          <w:rFonts w:cs="仿宋_GB2312" w:asciiTheme="minorEastAsia" w:hAnsiTheme="minorEastAsia" w:eastAsiaTheme="minorEastAsia"/>
          <w:b/>
          <w:bCs/>
          <w:color w:val="000000"/>
          <w:sz w:val="24"/>
        </w:rPr>
      </w:pPr>
      <w:r>
        <w:rPr>
          <w:rFonts w:hint="eastAsia" w:cs="仿宋_GB2312" w:asciiTheme="minorEastAsia" w:hAnsiTheme="minorEastAsia" w:eastAsiaTheme="minorEastAsia"/>
          <w:b/>
          <w:bCs/>
          <w:color w:val="000000"/>
          <w:sz w:val="24"/>
        </w:rPr>
        <w:t>4.3 标准要求</w:t>
      </w:r>
    </w:p>
    <w:p w14:paraId="3600F2A3">
      <w:pPr>
        <w:keepNext w:val="0"/>
        <w:keepLines w:val="0"/>
        <w:pageBreakBefore w:val="0"/>
        <w:widowControl w:val="0"/>
        <w:kinsoku/>
        <w:wordWrap/>
        <w:overflowPunct/>
        <w:topLinePunct w:val="0"/>
        <w:bidi w:val="0"/>
        <w:spacing w:after="0" w:line="420" w:lineRule="exact"/>
        <w:ind w:firstLine="480" w:firstLineChars="20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投标方所提供的设备相关仪表、配件及接口等应符合下列标准。(但不限于下列标准)</w:t>
      </w:r>
    </w:p>
    <w:p w14:paraId="364C77B3">
      <w:pPr>
        <w:keepNext w:val="0"/>
        <w:keepLines w:val="0"/>
        <w:pageBreakBefore w:val="0"/>
        <w:widowControl w:val="0"/>
        <w:kinsoku/>
        <w:wordWrap/>
        <w:overflowPunct/>
        <w:topLinePunct w:val="0"/>
        <w:bidi w:val="0"/>
        <w:spacing w:after="0" w:line="420" w:lineRule="exact"/>
        <w:ind w:firstLine="480" w:firstLineChars="2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《GB/T 19022-2003 测量管理体系测量过程和测量设备的要求》</w:t>
      </w:r>
    </w:p>
    <w:p w14:paraId="58FAFD93">
      <w:pPr>
        <w:keepNext w:val="0"/>
        <w:keepLines w:val="0"/>
        <w:pageBreakBefore w:val="0"/>
        <w:widowControl w:val="0"/>
        <w:kinsoku/>
        <w:wordWrap/>
        <w:overflowPunct/>
        <w:topLinePunct w:val="0"/>
        <w:bidi w:val="0"/>
        <w:spacing w:after="0" w:line="420" w:lineRule="exact"/>
        <w:ind w:firstLine="480" w:firstLineChars="2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《GB/T 28848-2012 智能气体流量计》</w:t>
      </w:r>
    </w:p>
    <w:p w14:paraId="699B00BA">
      <w:pPr>
        <w:keepNext w:val="0"/>
        <w:keepLines w:val="0"/>
        <w:pageBreakBefore w:val="0"/>
        <w:widowControl w:val="0"/>
        <w:kinsoku/>
        <w:wordWrap/>
        <w:overflowPunct/>
        <w:topLinePunct w:val="0"/>
        <w:bidi w:val="0"/>
        <w:spacing w:after="0" w:line="420" w:lineRule="exact"/>
        <w:ind w:firstLine="480" w:firstLineChars="2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《GB/T 28468 微差压变送器》</w:t>
      </w:r>
    </w:p>
    <w:p w14:paraId="3737B653">
      <w:pPr>
        <w:keepNext w:val="0"/>
        <w:keepLines w:val="0"/>
        <w:pageBreakBefore w:val="0"/>
        <w:widowControl w:val="0"/>
        <w:kinsoku/>
        <w:wordWrap/>
        <w:overflowPunct/>
        <w:topLinePunct w:val="0"/>
        <w:bidi w:val="0"/>
        <w:spacing w:after="0" w:line="420" w:lineRule="exact"/>
        <w:ind w:firstLine="480" w:firstLineChars="2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《GB/T 18459 数字压力计（同压力表）》</w:t>
      </w:r>
    </w:p>
    <w:p w14:paraId="087BD0C1">
      <w:pPr>
        <w:keepNext w:val="0"/>
        <w:keepLines w:val="0"/>
        <w:pageBreakBefore w:val="0"/>
        <w:widowControl w:val="0"/>
        <w:kinsoku/>
        <w:wordWrap/>
        <w:overflowPunct/>
        <w:topLinePunct w:val="0"/>
        <w:bidi w:val="0"/>
        <w:spacing w:after="0" w:line="420" w:lineRule="exact"/>
        <w:ind w:firstLine="480" w:firstLineChars="2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《GB/T 17614 工业自动化仪表 工作条件》</w:t>
      </w:r>
    </w:p>
    <w:p w14:paraId="6F963F55">
      <w:pPr>
        <w:keepNext w:val="0"/>
        <w:keepLines w:val="0"/>
        <w:pageBreakBefore w:val="0"/>
        <w:widowControl w:val="0"/>
        <w:kinsoku/>
        <w:wordWrap/>
        <w:overflowPunct/>
        <w:topLinePunct w:val="0"/>
        <w:bidi w:val="0"/>
        <w:spacing w:after="0" w:line="420" w:lineRule="exact"/>
        <w:ind w:firstLine="480" w:firstLineChars="2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《GB 4208 外壳防护等级（IP 代码）》</w:t>
      </w:r>
    </w:p>
    <w:p w14:paraId="32915789">
      <w:pPr>
        <w:keepNext w:val="0"/>
        <w:keepLines w:val="0"/>
        <w:pageBreakBefore w:val="0"/>
        <w:widowControl w:val="0"/>
        <w:kinsoku/>
        <w:wordWrap/>
        <w:overflowPunct/>
        <w:topLinePunct w:val="0"/>
        <w:bidi w:val="0"/>
        <w:spacing w:after="0" w:line="420" w:lineRule="exact"/>
        <w:ind w:firstLine="480" w:firstLineChars="2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《GB/T 17214 工业过程测量和控制装置通用条件》</w:t>
      </w:r>
    </w:p>
    <w:p w14:paraId="4D2C18EE">
      <w:pPr>
        <w:keepNext w:val="0"/>
        <w:keepLines w:val="0"/>
        <w:pageBreakBefore w:val="0"/>
        <w:widowControl w:val="0"/>
        <w:kinsoku/>
        <w:wordWrap/>
        <w:overflowPunct/>
        <w:topLinePunct w:val="0"/>
        <w:bidi w:val="0"/>
        <w:spacing w:after="0" w:line="420" w:lineRule="exact"/>
        <w:ind w:firstLine="480" w:firstLineChars="2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《GB/T 17626 电磁兼容（EMC）抗干扰要求》</w:t>
      </w:r>
    </w:p>
    <w:p w14:paraId="300CBC69">
      <w:pPr>
        <w:keepNext w:val="0"/>
        <w:keepLines w:val="0"/>
        <w:pageBreakBefore w:val="0"/>
        <w:widowControl w:val="0"/>
        <w:kinsoku/>
        <w:wordWrap/>
        <w:overflowPunct/>
        <w:topLinePunct w:val="0"/>
        <w:bidi w:val="0"/>
        <w:spacing w:after="0" w:line="420" w:lineRule="exact"/>
        <w:ind w:firstLine="720" w:firstLineChars="3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ISO (International Standards Organisation) （国际标准组织）</w:t>
      </w:r>
      <w:r>
        <w:rPr>
          <w:rFonts w:hint="eastAsia" w:cs="仿宋_GB2312" w:asciiTheme="minorEastAsia" w:hAnsiTheme="minorEastAsia" w:eastAsiaTheme="minorEastAsia"/>
          <w:color w:val="000000"/>
          <w:sz w:val="24"/>
        </w:rPr>
        <w:t>；</w:t>
      </w:r>
    </w:p>
    <w:p w14:paraId="7DF2A823">
      <w:pPr>
        <w:keepNext w:val="0"/>
        <w:keepLines w:val="0"/>
        <w:pageBreakBefore w:val="0"/>
        <w:widowControl w:val="0"/>
        <w:kinsoku/>
        <w:wordWrap/>
        <w:overflowPunct/>
        <w:topLinePunct w:val="0"/>
        <w:bidi w:val="0"/>
        <w:spacing w:after="0" w:line="420" w:lineRule="exact"/>
        <w:ind w:firstLine="720" w:firstLineChars="3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IEC (International Electric Committee) （国际电工委员会）</w:t>
      </w:r>
      <w:r>
        <w:rPr>
          <w:rFonts w:hint="eastAsia" w:cs="仿宋_GB2312" w:asciiTheme="minorEastAsia" w:hAnsiTheme="minorEastAsia" w:eastAsiaTheme="minorEastAsia"/>
          <w:color w:val="000000"/>
          <w:sz w:val="24"/>
        </w:rPr>
        <w:t>；</w:t>
      </w:r>
    </w:p>
    <w:p w14:paraId="3EC498B7">
      <w:pPr>
        <w:keepNext w:val="0"/>
        <w:keepLines w:val="0"/>
        <w:pageBreakBefore w:val="0"/>
        <w:widowControl w:val="0"/>
        <w:kinsoku/>
        <w:wordWrap/>
        <w:overflowPunct/>
        <w:topLinePunct w:val="0"/>
        <w:bidi w:val="0"/>
        <w:spacing w:after="0" w:line="420" w:lineRule="exact"/>
        <w:ind w:firstLine="720" w:firstLineChars="300"/>
        <w:jc w:val="left"/>
        <w:rPr>
          <w:rFonts w:cs="仿宋_GB2312" w:asciiTheme="minorEastAsia" w:hAnsiTheme="minorEastAsia" w:eastAsiaTheme="minorEastAsia"/>
          <w:color w:val="000000"/>
          <w:sz w:val="24"/>
        </w:rPr>
      </w:pPr>
      <w:r>
        <w:rPr>
          <w:rFonts w:cs="仿宋_GB2312" w:asciiTheme="minorEastAsia" w:hAnsiTheme="minorEastAsia" w:eastAsiaTheme="minorEastAsia"/>
          <w:color w:val="000000"/>
          <w:sz w:val="24"/>
        </w:rPr>
        <w:t>DIN (German Industrial Standard) （德国工业标准）</w:t>
      </w:r>
      <w:r>
        <w:rPr>
          <w:rFonts w:hint="eastAsia" w:cs="仿宋_GB2312" w:asciiTheme="minorEastAsia" w:hAnsiTheme="minorEastAsia" w:eastAsiaTheme="minorEastAsia"/>
          <w:color w:val="000000"/>
          <w:sz w:val="24"/>
        </w:rPr>
        <w:t>；</w:t>
      </w:r>
    </w:p>
    <w:p w14:paraId="5FD77DE8">
      <w:pPr>
        <w:keepNext w:val="0"/>
        <w:keepLines w:val="0"/>
        <w:pageBreakBefore w:val="0"/>
        <w:widowControl w:val="0"/>
        <w:kinsoku/>
        <w:wordWrap/>
        <w:overflowPunct/>
        <w:topLinePunct w:val="0"/>
        <w:bidi w:val="0"/>
        <w:spacing w:after="0" w:line="420" w:lineRule="exact"/>
        <w:ind w:firstLine="720" w:firstLineChars="30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JJF 1001 通用计量术语及定义</w:t>
      </w:r>
    </w:p>
    <w:p w14:paraId="36B91286">
      <w:pPr>
        <w:keepNext w:val="0"/>
        <w:keepLines w:val="0"/>
        <w:pageBreakBefore w:val="0"/>
        <w:widowControl w:val="0"/>
        <w:kinsoku/>
        <w:wordWrap/>
        <w:overflowPunct/>
        <w:topLinePunct w:val="0"/>
        <w:bidi w:val="0"/>
        <w:spacing w:after="0" w:line="420" w:lineRule="exact"/>
        <w:ind w:firstLine="720" w:firstLineChars="300"/>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JJF 1059.1 测量不确定度评定</w:t>
      </w:r>
    </w:p>
    <w:p w14:paraId="56C3D37A">
      <w:pPr>
        <w:pStyle w:val="13"/>
        <w:keepNext w:val="0"/>
        <w:keepLines w:val="0"/>
        <w:pageBreakBefore w:val="0"/>
        <w:widowControl w:val="0"/>
        <w:kinsoku/>
        <w:wordWrap/>
        <w:overflowPunct/>
        <w:topLinePunct w:val="0"/>
        <w:bidi w:val="0"/>
        <w:spacing w:after="0" w:line="420" w:lineRule="exact"/>
        <w:ind w:left="0" w:leftChars="0" w:firstLine="0" w:firstLineChars="0"/>
        <w:outlineLvl w:val="0"/>
        <w:rPr>
          <w:rFonts w:cs="仿宋_GB2312" w:asciiTheme="minorEastAsia" w:hAnsiTheme="minorEastAsia" w:eastAsiaTheme="minorEastAsia"/>
          <w:b/>
          <w:sz w:val="24"/>
        </w:rPr>
      </w:pPr>
      <w:bookmarkStart w:id="14" w:name="_Toc12715"/>
      <w:r>
        <w:rPr>
          <w:rFonts w:hint="eastAsia" w:cs="仿宋_GB2312" w:asciiTheme="minorEastAsia" w:hAnsiTheme="minorEastAsia" w:eastAsiaTheme="minorEastAsia"/>
          <w:b/>
          <w:sz w:val="24"/>
        </w:rPr>
        <w:t>五、建设条件</w:t>
      </w:r>
      <w:bookmarkEnd w:id="10"/>
      <w:bookmarkEnd w:id="11"/>
      <w:bookmarkEnd w:id="12"/>
      <w:bookmarkEnd w:id="13"/>
      <w:bookmarkEnd w:id="14"/>
    </w:p>
    <w:p w14:paraId="6FE8D1D0">
      <w:pPr>
        <w:pStyle w:val="58"/>
        <w:keepNext w:val="0"/>
        <w:keepLines w:val="0"/>
        <w:pageBreakBefore w:val="0"/>
        <w:widowControl w:val="0"/>
        <w:kinsoku/>
        <w:wordWrap/>
        <w:overflowPunct/>
        <w:topLinePunct w:val="0"/>
        <w:bidi w:val="0"/>
        <w:snapToGrid w:val="0"/>
        <w:spacing w:after="0" w:line="420" w:lineRule="exact"/>
        <w:ind w:right="0" w:firstLine="482" w:firstLineChars="200"/>
        <w:rPr>
          <w:rFonts w:cs="仿宋_GB2312" w:asciiTheme="minorEastAsia" w:hAnsiTheme="minorEastAsia" w:eastAsiaTheme="minorEastAsia"/>
          <w:b/>
          <w:bCs/>
          <w:color w:val="000000"/>
          <w:kern w:val="2"/>
          <w:szCs w:val="24"/>
        </w:rPr>
      </w:pPr>
      <w:r>
        <w:rPr>
          <w:rFonts w:hint="eastAsia" w:cs="仿宋_GB2312" w:asciiTheme="minorEastAsia" w:hAnsiTheme="minorEastAsia" w:eastAsiaTheme="minorEastAsia"/>
          <w:b/>
          <w:bCs/>
          <w:color w:val="000000"/>
          <w:kern w:val="2"/>
          <w:szCs w:val="24"/>
        </w:rPr>
        <w:t>5.1 场地与自然条件</w:t>
      </w:r>
    </w:p>
    <w:p w14:paraId="74814113">
      <w:pPr>
        <w:keepNext w:val="0"/>
        <w:keepLines w:val="0"/>
        <w:pageBreakBefore w:val="0"/>
        <w:widowControl w:val="0"/>
        <w:kinsoku/>
        <w:wordWrap/>
        <w:overflowPunct/>
        <w:topLinePunct w:val="0"/>
        <w:bidi w:val="0"/>
        <w:spacing w:after="0" w:line="420" w:lineRule="exact"/>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 xml:space="preserve">    首钢京唐钢铁联合有限责任公司位于河北省东北部，唐山市滦南县境内渤海湾北部曹妃甸岛，距大陆岸线约18km。西北方向距北京市约220km，距唐山市约80km；东北方向距秦皇岛市约170km，距京唐港约60km；西距天津市约120km，距天津新港约70km。曹妃甸岛为优良深水港址，前沿为渤海湾主潮流通道的深槽海域。</w:t>
      </w:r>
    </w:p>
    <w:p w14:paraId="32E6AA97">
      <w:pPr>
        <w:pStyle w:val="58"/>
        <w:keepNext w:val="0"/>
        <w:keepLines w:val="0"/>
        <w:pageBreakBefore w:val="0"/>
        <w:widowControl w:val="0"/>
        <w:kinsoku/>
        <w:wordWrap/>
        <w:overflowPunct/>
        <w:topLinePunct w:val="0"/>
        <w:bidi w:val="0"/>
        <w:snapToGrid w:val="0"/>
        <w:spacing w:after="0" w:line="420" w:lineRule="exact"/>
        <w:ind w:right="0" w:firstLine="720" w:firstLineChars="30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最冷月平均相对湿度：59.6%</w:t>
      </w:r>
    </w:p>
    <w:p w14:paraId="522A2A30">
      <w:pPr>
        <w:pStyle w:val="58"/>
        <w:keepNext w:val="0"/>
        <w:keepLines w:val="0"/>
        <w:pageBreakBefore w:val="0"/>
        <w:widowControl w:val="0"/>
        <w:kinsoku/>
        <w:wordWrap/>
        <w:overflowPunct/>
        <w:topLinePunct w:val="0"/>
        <w:bidi w:val="0"/>
        <w:snapToGrid w:val="0"/>
        <w:spacing w:after="0" w:line="420" w:lineRule="exact"/>
        <w:ind w:right="0" w:firstLine="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 xml:space="preserve">    </w:t>
      </w:r>
      <w:r>
        <w:rPr>
          <w:rFonts w:cs="仿宋_GB2312" w:asciiTheme="minorEastAsia" w:hAnsiTheme="minorEastAsia" w:eastAsiaTheme="minorEastAsia"/>
          <w:color w:val="000000"/>
          <w:kern w:val="2"/>
          <w:szCs w:val="24"/>
        </w:rPr>
        <w:t xml:space="preserve"> </w:t>
      </w:r>
      <w:r>
        <w:rPr>
          <w:rFonts w:hint="eastAsia" w:cs="仿宋_GB2312" w:asciiTheme="minorEastAsia" w:hAnsiTheme="minorEastAsia" w:eastAsiaTheme="minorEastAsia"/>
          <w:color w:val="000000"/>
          <w:kern w:val="2"/>
          <w:szCs w:val="24"/>
        </w:rPr>
        <w:t>最热月平均相对湿度：81.5%</w:t>
      </w:r>
    </w:p>
    <w:p w14:paraId="22BE50DF">
      <w:pPr>
        <w:pStyle w:val="58"/>
        <w:keepNext w:val="0"/>
        <w:keepLines w:val="0"/>
        <w:pageBreakBefore w:val="0"/>
        <w:widowControl w:val="0"/>
        <w:kinsoku/>
        <w:wordWrap/>
        <w:overflowPunct/>
        <w:topLinePunct w:val="0"/>
        <w:bidi w:val="0"/>
        <w:snapToGrid w:val="0"/>
        <w:spacing w:after="0" w:line="420" w:lineRule="exact"/>
        <w:ind w:right="0" w:firstLine="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 xml:space="preserve">    </w:t>
      </w:r>
      <w:r>
        <w:rPr>
          <w:rFonts w:cs="仿宋_GB2312" w:asciiTheme="minorEastAsia" w:hAnsiTheme="minorEastAsia" w:eastAsiaTheme="minorEastAsia"/>
          <w:color w:val="000000"/>
          <w:kern w:val="2"/>
          <w:szCs w:val="24"/>
        </w:rPr>
        <w:t xml:space="preserve"> </w:t>
      </w:r>
      <w:r>
        <w:rPr>
          <w:rFonts w:hint="eastAsia" w:cs="仿宋_GB2312" w:asciiTheme="minorEastAsia" w:hAnsiTheme="minorEastAsia" w:eastAsiaTheme="minorEastAsia"/>
          <w:color w:val="000000"/>
          <w:kern w:val="2"/>
          <w:szCs w:val="24"/>
        </w:rPr>
        <w:t>全年平均风速：2.9m/s</w:t>
      </w:r>
    </w:p>
    <w:p w14:paraId="5FC93DCD">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主导风向：NNW</w:t>
      </w:r>
      <w:r>
        <w:rPr>
          <w:rFonts w:hint="eastAsia" w:cs="仿宋_GB2312" w:asciiTheme="minorEastAsia" w:hAnsiTheme="minorEastAsia" w:eastAsiaTheme="minorEastAsia"/>
          <w:color w:val="000000"/>
          <w:kern w:val="2"/>
          <w:szCs w:val="24"/>
        </w:rPr>
        <w:tab/>
      </w:r>
    </w:p>
    <w:p w14:paraId="5E952FDF">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极端最高气温：34.1℃</w:t>
      </w:r>
    </w:p>
    <w:p w14:paraId="4292031E">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极端最低气温：–16.2℃</w:t>
      </w:r>
    </w:p>
    <w:p w14:paraId="5C1EDC8E">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年平均气温：11.3℃</w:t>
      </w:r>
    </w:p>
    <w:p w14:paraId="084A3248">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冬季采暖室外计算气温：-8.6℃</w:t>
      </w:r>
    </w:p>
    <w:p w14:paraId="05E2A2DD">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夏季采暖室外计算气温：27.6℃</w:t>
      </w:r>
    </w:p>
    <w:p w14:paraId="1A65FE48">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年平均大气压力：1016.8hPa</w:t>
      </w:r>
    </w:p>
    <w:p w14:paraId="7BC2A8AD">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夏季平均大气压力：1005.5hPa</w:t>
      </w:r>
    </w:p>
    <w:p w14:paraId="110D813F">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冬季平均大气压力：1026.8hPa</w:t>
      </w:r>
    </w:p>
    <w:p w14:paraId="5EA111C2">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年平均降雨量：608.1mm</w:t>
      </w:r>
    </w:p>
    <w:p w14:paraId="6A86EDFE">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日最大降雨量：266.2mm</w:t>
      </w:r>
    </w:p>
    <w:p w14:paraId="46F1855F">
      <w:pPr>
        <w:pStyle w:val="58"/>
        <w:keepNext w:val="0"/>
        <w:keepLines w:val="0"/>
        <w:pageBreakBefore w:val="0"/>
        <w:widowControl w:val="0"/>
        <w:kinsoku/>
        <w:wordWrap/>
        <w:overflowPunct/>
        <w:topLinePunct w:val="0"/>
        <w:bidi w:val="0"/>
        <w:snapToGrid w:val="0"/>
        <w:spacing w:after="0" w:line="420" w:lineRule="exact"/>
        <w:ind w:right="0"/>
        <w:rPr>
          <w:rFonts w:cs="仿宋_GB2312" w:asciiTheme="minorEastAsia" w:hAnsiTheme="minorEastAsia" w:eastAsiaTheme="minorEastAsia"/>
          <w:color w:val="000000"/>
          <w:kern w:val="2"/>
          <w:szCs w:val="24"/>
        </w:rPr>
      </w:pPr>
      <w:r>
        <w:rPr>
          <w:rFonts w:hint="eastAsia" w:cs="仿宋_GB2312" w:asciiTheme="minorEastAsia" w:hAnsiTheme="minorEastAsia" w:eastAsiaTheme="minorEastAsia"/>
          <w:color w:val="000000"/>
          <w:kern w:val="2"/>
          <w:szCs w:val="24"/>
        </w:rPr>
        <w:t>最大积雪深度:0.24m</w:t>
      </w:r>
    </w:p>
    <w:p w14:paraId="78BB9A6C">
      <w:pPr>
        <w:keepNext w:val="0"/>
        <w:keepLines w:val="0"/>
        <w:pageBreakBefore w:val="0"/>
        <w:widowControl w:val="0"/>
        <w:kinsoku/>
        <w:wordWrap/>
        <w:overflowPunct/>
        <w:topLinePunct w:val="0"/>
        <w:bidi w:val="0"/>
        <w:spacing w:after="0" w:line="420" w:lineRule="exact"/>
        <w:ind w:firstLine="482" w:firstLineChars="200"/>
        <w:rPr>
          <w:rFonts w:cs="仿宋_GB2312" w:asciiTheme="minorEastAsia" w:hAnsiTheme="minorEastAsia" w:eastAsiaTheme="minorEastAsia"/>
          <w:b/>
          <w:bCs/>
          <w:color w:val="000000"/>
          <w:sz w:val="24"/>
        </w:rPr>
      </w:pPr>
      <w:r>
        <w:rPr>
          <w:rFonts w:hint="eastAsia" w:cs="仿宋_GB2312" w:asciiTheme="minorEastAsia" w:hAnsiTheme="minorEastAsia" w:eastAsiaTheme="minorEastAsia"/>
          <w:b/>
          <w:bCs/>
          <w:color w:val="000000"/>
          <w:sz w:val="24"/>
        </w:rPr>
        <w:t>5.2资源、原材料、燃料及公用设施情况</w:t>
      </w:r>
    </w:p>
    <w:p w14:paraId="683E739E">
      <w:pPr>
        <w:keepNext w:val="0"/>
        <w:keepLines w:val="0"/>
        <w:pageBreakBefore w:val="0"/>
        <w:widowControl w:val="0"/>
        <w:kinsoku/>
        <w:wordWrap/>
        <w:overflowPunct/>
        <w:topLinePunct w:val="0"/>
        <w:bidi w:val="0"/>
        <w:spacing w:after="0" w:line="420" w:lineRule="exact"/>
        <w:rPr>
          <w:rFonts w:cs="仿宋_GB2312" w:asciiTheme="minorEastAsia" w:hAnsiTheme="minorEastAsia" w:eastAsiaTheme="minorEastAsia"/>
          <w:color w:val="000000"/>
          <w:sz w:val="24"/>
        </w:rPr>
      </w:pPr>
      <w:r>
        <w:rPr>
          <w:rFonts w:hint="eastAsia" w:cs="仿宋_GB2312" w:asciiTheme="minorEastAsia" w:hAnsiTheme="minorEastAsia" w:eastAsiaTheme="minorEastAsia"/>
          <w:color w:val="000000"/>
          <w:sz w:val="24"/>
        </w:rPr>
        <w:t xml:space="preserve">    现场调试时，为调试电脑提供电源，提供可供调试人员办公场地。</w:t>
      </w:r>
    </w:p>
    <w:p w14:paraId="001D29F9">
      <w:pPr>
        <w:pStyle w:val="13"/>
        <w:keepNext w:val="0"/>
        <w:keepLines w:val="0"/>
        <w:pageBreakBefore w:val="0"/>
        <w:widowControl w:val="0"/>
        <w:kinsoku/>
        <w:wordWrap/>
        <w:overflowPunct/>
        <w:topLinePunct w:val="0"/>
        <w:bidi w:val="0"/>
        <w:spacing w:after="0" w:line="420" w:lineRule="exact"/>
        <w:ind w:left="0" w:leftChars="0" w:firstLine="0" w:firstLineChars="0"/>
        <w:outlineLvl w:val="0"/>
        <w:rPr>
          <w:rFonts w:cs="仿宋_GB2312" w:asciiTheme="minorEastAsia" w:hAnsiTheme="minorEastAsia" w:eastAsiaTheme="minorEastAsia"/>
          <w:b/>
          <w:sz w:val="24"/>
        </w:rPr>
      </w:pPr>
      <w:bookmarkStart w:id="15" w:name="_Toc8743"/>
      <w:bookmarkStart w:id="16" w:name="_Toc1263"/>
      <w:bookmarkStart w:id="17" w:name="_Toc14707"/>
      <w:bookmarkStart w:id="18" w:name="_Toc15294"/>
      <w:bookmarkStart w:id="19" w:name="_Toc29013"/>
      <w:bookmarkStart w:id="20" w:name="_Toc20561"/>
      <w:bookmarkStart w:id="21" w:name="_Toc130445210"/>
      <w:bookmarkStart w:id="22" w:name="_Toc130355086"/>
      <w:bookmarkStart w:id="23" w:name="_Toc29834"/>
      <w:bookmarkStart w:id="24" w:name="_Toc130354920"/>
      <w:bookmarkStart w:id="25" w:name="_Toc130355048"/>
      <w:r>
        <w:rPr>
          <w:rFonts w:hint="eastAsia" w:cs="仿宋_GB2312" w:asciiTheme="minorEastAsia" w:hAnsiTheme="minorEastAsia" w:eastAsiaTheme="minorEastAsia"/>
          <w:b/>
          <w:sz w:val="24"/>
        </w:rPr>
        <w:t>六、设备供货及</w:t>
      </w:r>
      <w:bookmarkEnd w:id="15"/>
      <w:bookmarkEnd w:id="16"/>
      <w:bookmarkEnd w:id="17"/>
      <w:bookmarkEnd w:id="18"/>
      <w:bookmarkEnd w:id="19"/>
      <w:bookmarkEnd w:id="20"/>
      <w:r>
        <w:rPr>
          <w:rFonts w:hint="eastAsia" w:cs="仿宋_GB2312" w:asciiTheme="minorEastAsia" w:hAnsiTheme="minorEastAsia" w:eastAsiaTheme="minorEastAsia"/>
          <w:b/>
          <w:sz w:val="24"/>
        </w:rPr>
        <w:t>调试进度</w:t>
      </w:r>
      <w:bookmarkEnd w:id="21"/>
      <w:bookmarkEnd w:id="22"/>
      <w:bookmarkEnd w:id="23"/>
      <w:bookmarkEnd w:id="24"/>
      <w:bookmarkEnd w:id="25"/>
      <w:bookmarkStart w:id="26" w:name="_Toc83747507"/>
    </w:p>
    <w:p w14:paraId="4D878DD2">
      <w:pPr>
        <w:pStyle w:val="13"/>
        <w:keepNext w:val="0"/>
        <w:keepLines w:val="0"/>
        <w:pageBreakBefore w:val="0"/>
        <w:widowControl w:val="0"/>
        <w:kinsoku/>
        <w:wordWrap/>
        <w:overflowPunct/>
        <w:topLinePunct w:val="0"/>
        <w:bidi w:val="0"/>
        <w:spacing w:after="0" w:line="420" w:lineRule="exact"/>
        <w:ind w:left="0" w:leftChars="0" w:firstLine="482"/>
        <w:outlineLvl w:val="1"/>
        <w:rPr>
          <w:rFonts w:cs="仿宋_GB2312" w:asciiTheme="minorEastAsia" w:hAnsiTheme="minorEastAsia" w:eastAsiaTheme="minorEastAsia"/>
          <w:b/>
          <w:sz w:val="24"/>
        </w:rPr>
      </w:pPr>
      <w:bookmarkStart w:id="27" w:name="_Toc130354921"/>
      <w:bookmarkStart w:id="28" w:name="_Toc130355049"/>
      <w:bookmarkStart w:id="29" w:name="_Toc130355087"/>
      <w:bookmarkStart w:id="30" w:name="_Toc130445211"/>
      <w:bookmarkStart w:id="31" w:name="_Toc11546"/>
      <w:r>
        <w:rPr>
          <w:rFonts w:hint="eastAsia" w:cs="仿宋_GB2312" w:asciiTheme="minorEastAsia" w:hAnsiTheme="minorEastAsia" w:eastAsiaTheme="minorEastAsia"/>
          <w:b/>
          <w:sz w:val="24"/>
        </w:rPr>
        <w:t>6.1 供货范围</w:t>
      </w:r>
      <w:bookmarkEnd w:id="27"/>
      <w:bookmarkEnd w:id="28"/>
      <w:bookmarkEnd w:id="29"/>
      <w:bookmarkEnd w:id="30"/>
      <w:bookmarkEnd w:id="31"/>
    </w:p>
    <w:p w14:paraId="3281EDED">
      <w:pPr>
        <w:pStyle w:val="49"/>
        <w:keepNext w:val="0"/>
        <w:keepLines w:val="0"/>
        <w:pageBreakBefore w:val="0"/>
        <w:widowControl w:val="0"/>
        <w:kinsoku/>
        <w:wordWrap/>
        <w:overflowPunct/>
        <w:topLinePunct w:val="0"/>
        <w:bidi w:val="0"/>
        <w:spacing w:after="0" w:line="420" w:lineRule="exact"/>
        <w:ind w:firstLine="482"/>
        <w:rPr>
          <w:rFonts w:cs="仿宋_GB2312" w:asciiTheme="minorEastAsia" w:hAnsiTheme="minorEastAsia" w:eastAsiaTheme="minorEastAsia"/>
          <w:color w:val="000000" w:themeColor="text1"/>
          <w:sz w:val="24"/>
          <w14:textFill>
            <w14:solidFill>
              <w14:schemeClr w14:val="tx1"/>
            </w14:solidFill>
          </w14:textFill>
        </w:rPr>
      </w:pPr>
      <w:r>
        <w:rPr>
          <w:rFonts w:hint="eastAsia" w:cs="仿宋_GB2312" w:asciiTheme="minorEastAsia" w:hAnsiTheme="minorEastAsia" w:eastAsiaTheme="minorEastAsia"/>
          <w:color w:val="FF0000"/>
          <w:sz w:val="24"/>
        </w:rPr>
        <w:t xml:space="preserve"> </w:t>
      </w:r>
      <w:r>
        <w:rPr>
          <w:rFonts w:hint="eastAsia" w:cs="仿宋_GB2312" w:asciiTheme="minorEastAsia" w:hAnsiTheme="minorEastAsia" w:eastAsiaTheme="minorEastAsia"/>
          <w:color w:val="000000" w:themeColor="text1"/>
          <w:sz w:val="24"/>
          <w14:textFill>
            <w14:solidFill>
              <w14:schemeClr w14:val="tx1"/>
            </w14:solidFill>
          </w14:textFill>
        </w:rPr>
        <w:t>乙方负责本项目硬软件供货、系统开发调试、系统优化等全过程，同时乙方应以供货、调试及系统总集成方式，满足甲方对项目所有功能目标需求。</w:t>
      </w:r>
    </w:p>
    <w:tbl>
      <w:tblPr>
        <w:tblStyle w:val="33"/>
        <w:tblW w:w="100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1"/>
        <w:gridCol w:w="2012"/>
        <w:gridCol w:w="4650"/>
        <w:gridCol w:w="697"/>
        <w:gridCol w:w="700"/>
        <w:gridCol w:w="1388"/>
      </w:tblGrid>
      <w:tr w14:paraId="4BD7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1" w:type="dxa"/>
            <w:noWrap/>
          </w:tcPr>
          <w:p w14:paraId="422B2029">
            <w:pPr>
              <w:tabs>
                <w:tab w:val="left" w:pos="855"/>
              </w:tabs>
              <w:spacing w:after="0" w:line="400" w:lineRule="exact"/>
              <w:jc w:val="center"/>
              <w:rPr>
                <w:rFonts w:cs="仿宋_GB2312" w:asciiTheme="minorEastAsia" w:hAnsiTheme="minorEastAsia" w:eastAsiaTheme="minorEastAsia"/>
                <w:b/>
                <w:bCs/>
                <w:sz w:val="24"/>
              </w:rPr>
            </w:pPr>
            <w:r>
              <w:rPr>
                <w:rFonts w:hint="eastAsia" w:cs="仿宋_GB2312" w:asciiTheme="minorEastAsia" w:hAnsiTheme="minorEastAsia" w:eastAsiaTheme="minorEastAsia"/>
                <w:b/>
                <w:bCs/>
                <w:sz w:val="24"/>
              </w:rPr>
              <w:t>NO</w:t>
            </w:r>
          </w:p>
        </w:tc>
        <w:tc>
          <w:tcPr>
            <w:tcW w:w="2012" w:type="dxa"/>
          </w:tcPr>
          <w:p w14:paraId="3E7FB0A2">
            <w:pPr>
              <w:tabs>
                <w:tab w:val="left" w:pos="855"/>
              </w:tabs>
              <w:spacing w:after="0" w:line="400" w:lineRule="exact"/>
              <w:jc w:val="center"/>
              <w:rPr>
                <w:rFonts w:cs="仿宋_GB2312" w:asciiTheme="minorEastAsia" w:hAnsiTheme="minorEastAsia" w:eastAsiaTheme="minorEastAsia"/>
                <w:b/>
                <w:bCs/>
                <w:sz w:val="24"/>
              </w:rPr>
            </w:pPr>
            <w:r>
              <w:rPr>
                <w:rFonts w:hint="eastAsia" w:cs="仿宋_GB2312" w:asciiTheme="minorEastAsia" w:hAnsiTheme="minorEastAsia" w:eastAsiaTheme="minorEastAsia"/>
                <w:b/>
                <w:bCs/>
                <w:sz w:val="24"/>
              </w:rPr>
              <w:t>名称</w:t>
            </w:r>
          </w:p>
        </w:tc>
        <w:tc>
          <w:tcPr>
            <w:tcW w:w="4650" w:type="dxa"/>
          </w:tcPr>
          <w:p w14:paraId="2D29DD6D">
            <w:pPr>
              <w:tabs>
                <w:tab w:val="left" w:pos="855"/>
              </w:tabs>
              <w:spacing w:after="0" w:line="400" w:lineRule="exact"/>
              <w:jc w:val="center"/>
              <w:rPr>
                <w:rFonts w:cs="仿宋_GB2312" w:asciiTheme="minorEastAsia" w:hAnsiTheme="minorEastAsia" w:eastAsiaTheme="minorEastAsia"/>
                <w:b/>
                <w:bCs/>
                <w:sz w:val="24"/>
              </w:rPr>
            </w:pPr>
            <w:r>
              <w:rPr>
                <w:rFonts w:hint="eastAsia" w:cs="仿宋_GB2312" w:asciiTheme="minorEastAsia" w:hAnsiTheme="minorEastAsia" w:eastAsiaTheme="minorEastAsia"/>
                <w:b/>
                <w:bCs/>
                <w:sz w:val="24"/>
              </w:rPr>
              <w:t>规格型号</w:t>
            </w:r>
          </w:p>
        </w:tc>
        <w:tc>
          <w:tcPr>
            <w:tcW w:w="697" w:type="dxa"/>
            <w:noWrap/>
          </w:tcPr>
          <w:p w14:paraId="0FC8F2AC">
            <w:pPr>
              <w:tabs>
                <w:tab w:val="left" w:pos="855"/>
              </w:tabs>
              <w:spacing w:after="0" w:line="400" w:lineRule="exact"/>
              <w:jc w:val="center"/>
              <w:rPr>
                <w:rFonts w:cs="仿宋_GB2312" w:asciiTheme="minorEastAsia" w:hAnsiTheme="minorEastAsia" w:eastAsiaTheme="minorEastAsia"/>
                <w:b/>
                <w:bCs/>
                <w:sz w:val="24"/>
              </w:rPr>
            </w:pPr>
            <w:r>
              <w:rPr>
                <w:rFonts w:hint="eastAsia" w:cs="仿宋_GB2312" w:asciiTheme="minorEastAsia" w:hAnsiTheme="minorEastAsia" w:eastAsiaTheme="minorEastAsia"/>
                <w:b/>
                <w:bCs/>
                <w:sz w:val="24"/>
              </w:rPr>
              <w:t>单位</w:t>
            </w:r>
          </w:p>
        </w:tc>
        <w:tc>
          <w:tcPr>
            <w:tcW w:w="700" w:type="dxa"/>
            <w:noWrap/>
          </w:tcPr>
          <w:p w14:paraId="45D002D1">
            <w:pPr>
              <w:tabs>
                <w:tab w:val="left" w:pos="855"/>
              </w:tabs>
              <w:spacing w:after="0" w:line="400" w:lineRule="exact"/>
              <w:jc w:val="center"/>
              <w:rPr>
                <w:rFonts w:cs="仿宋_GB2312" w:asciiTheme="minorEastAsia" w:hAnsiTheme="minorEastAsia" w:eastAsiaTheme="minorEastAsia"/>
                <w:b/>
                <w:bCs/>
                <w:sz w:val="24"/>
              </w:rPr>
            </w:pPr>
            <w:r>
              <w:rPr>
                <w:rFonts w:hint="eastAsia" w:cs="仿宋_GB2312" w:asciiTheme="minorEastAsia" w:hAnsiTheme="minorEastAsia" w:eastAsiaTheme="minorEastAsia"/>
                <w:b/>
                <w:bCs/>
                <w:sz w:val="24"/>
              </w:rPr>
              <w:t>数量</w:t>
            </w:r>
          </w:p>
        </w:tc>
        <w:tc>
          <w:tcPr>
            <w:tcW w:w="1388" w:type="dxa"/>
            <w:noWrap/>
          </w:tcPr>
          <w:p w14:paraId="309DDFFE">
            <w:pPr>
              <w:tabs>
                <w:tab w:val="left" w:pos="855"/>
              </w:tabs>
              <w:spacing w:after="0" w:line="400" w:lineRule="exact"/>
              <w:jc w:val="center"/>
              <w:rPr>
                <w:rFonts w:cs="仿宋_GB2312" w:asciiTheme="minorEastAsia" w:hAnsiTheme="minorEastAsia" w:eastAsiaTheme="minorEastAsia"/>
                <w:b/>
                <w:bCs/>
                <w:sz w:val="24"/>
              </w:rPr>
            </w:pPr>
            <w:r>
              <w:rPr>
                <w:rFonts w:hint="eastAsia" w:cs="仿宋_GB2312" w:asciiTheme="minorEastAsia" w:hAnsiTheme="minorEastAsia" w:eastAsiaTheme="minorEastAsia"/>
                <w:b/>
                <w:bCs/>
                <w:sz w:val="24"/>
              </w:rPr>
              <w:t>品牌</w:t>
            </w:r>
          </w:p>
        </w:tc>
      </w:tr>
      <w:tr w14:paraId="3CE9C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1" w:type="dxa"/>
            <w:noWrap/>
          </w:tcPr>
          <w:p w14:paraId="272218B3">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1</w:t>
            </w:r>
          </w:p>
        </w:tc>
        <w:tc>
          <w:tcPr>
            <w:tcW w:w="2012" w:type="dxa"/>
          </w:tcPr>
          <w:p w14:paraId="784DF326">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除尘器压差检测仪表（含防堵反吹装置）</w:t>
            </w:r>
          </w:p>
        </w:tc>
        <w:tc>
          <w:tcPr>
            <w:tcW w:w="4650" w:type="dxa"/>
          </w:tcPr>
          <w:p w14:paraId="3523A6A3">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量程：0-3KPA 供电：DC24V；含交换机（千兆接口，2光4电，非网管型，支持profinet）</w:t>
            </w:r>
          </w:p>
        </w:tc>
        <w:tc>
          <w:tcPr>
            <w:tcW w:w="697" w:type="dxa"/>
            <w:noWrap/>
          </w:tcPr>
          <w:p w14:paraId="46B5B4B9">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套</w:t>
            </w:r>
          </w:p>
        </w:tc>
        <w:tc>
          <w:tcPr>
            <w:tcW w:w="700" w:type="dxa"/>
            <w:noWrap/>
          </w:tcPr>
          <w:p w14:paraId="38DDFA08">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29</w:t>
            </w:r>
          </w:p>
        </w:tc>
        <w:tc>
          <w:tcPr>
            <w:tcW w:w="1388" w:type="dxa"/>
            <w:noWrap/>
          </w:tcPr>
          <w:p w14:paraId="73D015D7">
            <w:pPr>
              <w:tabs>
                <w:tab w:val="left" w:pos="855"/>
              </w:tabs>
              <w:spacing w:after="0" w:line="400" w:lineRule="exact"/>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毕托巴、川仪、科隆</w:t>
            </w:r>
          </w:p>
        </w:tc>
      </w:tr>
      <w:tr w14:paraId="443E0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1" w:type="dxa"/>
            <w:noWrap/>
          </w:tcPr>
          <w:p w14:paraId="7B0824A2">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2</w:t>
            </w:r>
          </w:p>
        </w:tc>
        <w:tc>
          <w:tcPr>
            <w:tcW w:w="2012" w:type="dxa"/>
          </w:tcPr>
          <w:p w14:paraId="52C0F45C">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生产排水流量计</w:t>
            </w:r>
          </w:p>
        </w:tc>
        <w:tc>
          <w:tcPr>
            <w:tcW w:w="4650" w:type="dxa"/>
          </w:tcPr>
          <w:p w14:paraId="512178EE">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窨井多普勒流量计（含太阳能供电系统），仪表箱；流速测量量程：0.01m/s~7.00m/s，精度1%；水位测量 量程：0.05m~10.00m；精度：±0.5%；分辨率：2mm；供电支持市电/太阳能/锂电池供电；宽电压适配（7.5~15V DC）；支持无线传输，可输出 4~20mA 模拟量信号</w:t>
            </w:r>
          </w:p>
        </w:tc>
        <w:tc>
          <w:tcPr>
            <w:tcW w:w="697" w:type="dxa"/>
            <w:noWrap/>
          </w:tcPr>
          <w:p w14:paraId="693E6084">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套</w:t>
            </w:r>
          </w:p>
        </w:tc>
        <w:tc>
          <w:tcPr>
            <w:tcW w:w="700" w:type="dxa"/>
            <w:noWrap/>
          </w:tcPr>
          <w:p w14:paraId="166B0154">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2</w:t>
            </w:r>
          </w:p>
        </w:tc>
        <w:tc>
          <w:tcPr>
            <w:tcW w:w="1388" w:type="dxa"/>
            <w:noWrap/>
          </w:tcPr>
          <w:p w14:paraId="4207DEBB">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毕托巴、川仪、科隆</w:t>
            </w:r>
          </w:p>
        </w:tc>
      </w:tr>
      <w:tr w14:paraId="3BED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1" w:type="dxa"/>
            <w:noWrap/>
          </w:tcPr>
          <w:p w14:paraId="18D44BFD">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3</w:t>
            </w:r>
          </w:p>
        </w:tc>
        <w:tc>
          <w:tcPr>
            <w:tcW w:w="2012" w:type="dxa"/>
          </w:tcPr>
          <w:p w14:paraId="57827992">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PLC控制系统设备</w:t>
            </w:r>
          </w:p>
        </w:tc>
        <w:tc>
          <w:tcPr>
            <w:tcW w:w="4650" w:type="dxa"/>
          </w:tcPr>
          <w:p w14:paraId="480F877A">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PLC控制柜：s7-1500系列PLC，1511CPU,模拟量输入模块4个，型号为6ES7531</w:t>
            </w:r>
            <w:r>
              <w:rPr>
                <w:rFonts w:ascii="MS Mincho" w:hAnsi="MS Mincho" w:cs="MS Mincho" w:eastAsiaTheme="minorEastAsia"/>
                <w:bCs/>
                <w:sz w:val="24"/>
              </w:rPr>
              <w:t>‑</w:t>
            </w:r>
            <w:r>
              <w:rPr>
                <w:rFonts w:hint="eastAsia" w:cs="仿宋_GB2312" w:asciiTheme="minorEastAsia" w:hAnsiTheme="minorEastAsia" w:eastAsiaTheme="minorEastAsia"/>
                <w:bCs/>
                <w:sz w:val="24"/>
              </w:rPr>
              <w:t>7KF00</w:t>
            </w:r>
            <w:r>
              <w:rPr>
                <w:rFonts w:ascii="MS Mincho" w:hAnsi="MS Mincho" w:cs="MS Mincho" w:eastAsiaTheme="minorEastAsia"/>
                <w:bCs/>
                <w:sz w:val="24"/>
              </w:rPr>
              <w:t>‑</w:t>
            </w:r>
            <w:r>
              <w:rPr>
                <w:rFonts w:hint="eastAsia" w:cs="仿宋_GB2312" w:asciiTheme="minorEastAsia" w:hAnsiTheme="minorEastAsia" w:eastAsiaTheme="minorEastAsia"/>
                <w:bCs/>
                <w:sz w:val="24"/>
              </w:rPr>
              <w:t>0AB0;含配套菲尼克斯直流24V电源等。  防护等级IP54</w:t>
            </w:r>
          </w:p>
        </w:tc>
        <w:tc>
          <w:tcPr>
            <w:tcW w:w="697" w:type="dxa"/>
            <w:noWrap/>
          </w:tcPr>
          <w:p w14:paraId="4A85D65D">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套</w:t>
            </w:r>
          </w:p>
        </w:tc>
        <w:tc>
          <w:tcPr>
            <w:tcW w:w="700" w:type="dxa"/>
            <w:noWrap/>
          </w:tcPr>
          <w:p w14:paraId="2CA1E20C">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5</w:t>
            </w:r>
          </w:p>
        </w:tc>
        <w:tc>
          <w:tcPr>
            <w:tcW w:w="1388" w:type="dxa"/>
            <w:noWrap/>
          </w:tcPr>
          <w:p w14:paraId="256C7B0A">
            <w:pPr>
              <w:tabs>
                <w:tab w:val="left" w:pos="855"/>
              </w:tabs>
              <w:spacing w:after="0" w:line="400" w:lineRule="exact"/>
              <w:jc w:val="center"/>
              <w:rPr>
                <w:rFonts w:cs="仿宋_GB2312" w:asciiTheme="minorEastAsia" w:hAnsiTheme="minorEastAsia" w:eastAsiaTheme="minorEastAsia"/>
                <w:bCs/>
                <w:sz w:val="24"/>
              </w:rPr>
            </w:pPr>
          </w:p>
          <w:p w14:paraId="425E216A">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西门子</w:t>
            </w:r>
          </w:p>
        </w:tc>
      </w:tr>
      <w:tr w14:paraId="0340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1" w:type="dxa"/>
            <w:noWrap/>
          </w:tcPr>
          <w:p w14:paraId="1E4143D7">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4</w:t>
            </w:r>
          </w:p>
        </w:tc>
        <w:tc>
          <w:tcPr>
            <w:tcW w:w="2012" w:type="dxa"/>
          </w:tcPr>
          <w:p w14:paraId="5BBBD3F1">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风量检测仪表（含防堵反吹装置）</w:t>
            </w:r>
          </w:p>
        </w:tc>
        <w:tc>
          <w:tcPr>
            <w:tcW w:w="4650" w:type="dxa"/>
          </w:tcPr>
          <w:p w14:paraId="7D0E8679">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IP65、24VDC、支持4-20mA电流信号、精度：±2% FS、风速范围：0–30 m/s、介质温度：-40℃～+80℃、防堵、抗粉尘</w:t>
            </w:r>
          </w:p>
        </w:tc>
        <w:tc>
          <w:tcPr>
            <w:tcW w:w="697" w:type="dxa"/>
            <w:noWrap/>
          </w:tcPr>
          <w:p w14:paraId="077172B5">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套</w:t>
            </w:r>
          </w:p>
        </w:tc>
        <w:tc>
          <w:tcPr>
            <w:tcW w:w="700" w:type="dxa"/>
            <w:noWrap/>
          </w:tcPr>
          <w:p w14:paraId="586402F6">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22</w:t>
            </w:r>
          </w:p>
        </w:tc>
        <w:tc>
          <w:tcPr>
            <w:tcW w:w="1388" w:type="dxa"/>
            <w:noWrap/>
          </w:tcPr>
          <w:p w14:paraId="22C24A77">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毕托巴、川仪、科隆</w:t>
            </w:r>
          </w:p>
        </w:tc>
      </w:tr>
      <w:tr w14:paraId="233E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1" w:type="dxa"/>
            <w:noWrap/>
          </w:tcPr>
          <w:p w14:paraId="68B79A8B">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5</w:t>
            </w:r>
          </w:p>
        </w:tc>
        <w:tc>
          <w:tcPr>
            <w:tcW w:w="2012" w:type="dxa"/>
            <w:vAlign w:val="center"/>
          </w:tcPr>
          <w:p w14:paraId="53BF1DE0">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智能型电动机保护装置</w:t>
            </w:r>
          </w:p>
        </w:tc>
        <w:tc>
          <w:tcPr>
            <w:tcW w:w="4650" w:type="dxa"/>
            <w:vAlign w:val="center"/>
          </w:tcPr>
          <w:p w14:paraId="285940E8">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ARD3-100/CLSU-AO+90L，支持模拟量输出；含针型阀（304不锈钢 DN10管），含光电转换（光口要求：单模，接口类型SC/LC、接收灵敏度：≤-18dBm、工作波长：1310nm / 1550nm；  电口要求：RJ45、10/100/1000M 自适应）</w:t>
            </w:r>
          </w:p>
        </w:tc>
        <w:tc>
          <w:tcPr>
            <w:tcW w:w="697" w:type="dxa"/>
            <w:noWrap/>
          </w:tcPr>
          <w:p w14:paraId="56222247">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套</w:t>
            </w:r>
          </w:p>
        </w:tc>
        <w:tc>
          <w:tcPr>
            <w:tcW w:w="700" w:type="dxa"/>
            <w:noWrap/>
          </w:tcPr>
          <w:p w14:paraId="75005A7D">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23</w:t>
            </w:r>
          </w:p>
        </w:tc>
        <w:tc>
          <w:tcPr>
            <w:tcW w:w="1388" w:type="dxa"/>
            <w:noWrap/>
          </w:tcPr>
          <w:p w14:paraId="49436963">
            <w:pPr>
              <w:tabs>
                <w:tab w:val="left" w:pos="855"/>
              </w:tabs>
              <w:spacing w:after="0" w:line="400" w:lineRule="exact"/>
              <w:jc w:val="center"/>
              <w:rPr>
                <w:rFonts w:cs="仿宋_GB2312" w:asciiTheme="minorEastAsia" w:hAnsiTheme="minorEastAsia" w:eastAsiaTheme="minorEastAsia"/>
                <w:bCs/>
                <w:sz w:val="24"/>
              </w:rPr>
            </w:pPr>
            <w:r>
              <w:rPr>
                <w:rFonts w:hint="eastAsia" w:cs="仿宋_GB2312" w:asciiTheme="minorEastAsia" w:hAnsiTheme="minorEastAsia" w:eastAsiaTheme="minorEastAsia"/>
                <w:bCs/>
                <w:sz w:val="24"/>
              </w:rPr>
              <w:t>泰普科技或同等性能品牌产品</w:t>
            </w:r>
          </w:p>
        </w:tc>
      </w:tr>
    </w:tbl>
    <w:p w14:paraId="421FCF50">
      <w:pPr>
        <w:pStyle w:val="13"/>
        <w:keepNext w:val="0"/>
        <w:keepLines w:val="0"/>
        <w:pageBreakBefore w:val="0"/>
        <w:kinsoku/>
        <w:wordWrap/>
        <w:overflowPunct/>
        <w:topLinePunct w:val="0"/>
        <w:autoSpaceDE/>
        <w:autoSpaceDN/>
        <w:bidi w:val="0"/>
        <w:adjustRightInd/>
        <w:snapToGrid/>
        <w:spacing w:after="0" w:line="420" w:lineRule="exact"/>
        <w:ind w:left="0" w:leftChars="0" w:firstLine="482"/>
        <w:textAlignment w:val="auto"/>
        <w:outlineLvl w:val="1"/>
        <w:rPr>
          <w:rFonts w:cs="仿宋_GB2312" w:asciiTheme="minorEastAsia" w:hAnsiTheme="minorEastAsia" w:eastAsiaTheme="minorEastAsia"/>
          <w:b/>
          <w:sz w:val="24"/>
        </w:rPr>
      </w:pPr>
      <w:bookmarkStart w:id="32" w:name="_Toc130445212"/>
      <w:bookmarkStart w:id="33" w:name="_Toc130355050"/>
      <w:bookmarkStart w:id="34" w:name="_Toc130355088"/>
      <w:bookmarkStart w:id="35" w:name="_Toc130354922"/>
      <w:bookmarkStart w:id="36" w:name="_Toc2257"/>
      <w:r>
        <w:rPr>
          <w:rFonts w:cs="仿宋_GB2312" w:asciiTheme="minorEastAsia" w:hAnsiTheme="minorEastAsia" w:eastAsiaTheme="minorEastAsia"/>
          <w:b/>
          <w:sz w:val="24"/>
        </w:rPr>
        <w:t>* 所提供仪表应包含仪表安装所需的配件。</w:t>
      </w:r>
    </w:p>
    <w:p w14:paraId="18E8C4D5">
      <w:pPr>
        <w:pStyle w:val="13"/>
        <w:keepNext w:val="0"/>
        <w:keepLines w:val="0"/>
        <w:pageBreakBefore w:val="0"/>
        <w:kinsoku/>
        <w:wordWrap/>
        <w:overflowPunct/>
        <w:topLinePunct w:val="0"/>
        <w:autoSpaceDE/>
        <w:autoSpaceDN/>
        <w:bidi w:val="0"/>
        <w:adjustRightInd/>
        <w:snapToGrid/>
        <w:spacing w:after="0" w:line="420" w:lineRule="exact"/>
        <w:ind w:left="0" w:leftChars="0" w:firstLine="482"/>
        <w:textAlignment w:val="auto"/>
        <w:outlineLvl w:val="1"/>
        <w:rPr>
          <w:rFonts w:cs="仿宋_GB2312" w:asciiTheme="minorEastAsia" w:hAnsiTheme="minorEastAsia" w:eastAsiaTheme="minorEastAsia"/>
          <w:b/>
          <w:sz w:val="24"/>
        </w:rPr>
      </w:pPr>
      <w:r>
        <w:rPr>
          <w:rFonts w:hint="eastAsia" w:cs="仿宋_GB2312" w:asciiTheme="minorEastAsia" w:hAnsiTheme="minorEastAsia" w:eastAsiaTheme="minorEastAsia"/>
          <w:b/>
          <w:sz w:val="24"/>
        </w:rPr>
        <w:t>6.2 调试要求</w:t>
      </w:r>
      <w:bookmarkEnd w:id="32"/>
      <w:bookmarkEnd w:id="33"/>
      <w:bookmarkEnd w:id="34"/>
      <w:bookmarkEnd w:id="35"/>
      <w:bookmarkEnd w:id="36"/>
    </w:p>
    <w:p w14:paraId="0959742A">
      <w:pPr>
        <w:pStyle w:val="49"/>
        <w:keepNext w:val="0"/>
        <w:keepLines w:val="0"/>
        <w:pageBreakBefore w:val="0"/>
        <w:kinsoku/>
        <w:wordWrap/>
        <w:overflowPunct/>
        <w:topLinePunct w:val="0"/>
        <w:autoSpaceDE/>
        <w:autoSpaceDN/>
        <w:bidi w:val="0"/>
        <w:adjustRightInd/>
        <w:snapToGrid/>
        <w:spacing w:after="0" w:line="420" w:lineRule="exact"/>
        <w:ind w:firstLine="482" w:firstLineChars="200"/>
        <w:jc w:val="left"/>
        <w:textAlignment w:val="auto"/>
        <w:outlineLvl w:val="2"/>
        <w:rPr>
          <w:rFonts w:cs="仿宋_GB2312" w:asciiTheme="minorEastAsia" w:hAnsiTheme="minorEastAsia" w:eastAsiaTheme="minorEastAsia"/>
          <w:b/>
          <w:sz w:val="24"/>
        </w:rPr>
      </w:pPr>
      <w:bookmarkStart w:id="37" w:name="_Toc29739"/>
      <w:bookmarkStart w:id="38" w:name="_Toc26132"/>
      <w:bookmarkStart w:id="39" w:name="_Toc32411"/>
      <w:bookmarkStart w:id="40" w:name="_Toc32277"/>
      <w:bookmarkStart w:id="41" w:name="_Toc191"/>
      <w:bookmarkStart w:id="42" w:name="_Toc24260"/>
      <w:bookmarkStart w:id="43" w:name="_Toc130355051"/>
      <w:bookmarkStart w:id="44" w:name="_Toc2726"/>
      <w:bookmarkStart w:id="45" w:name="_Toc130355089"/>
      <w:bookmarkStart w:id="46" w:name="_Toc130445213"/>
      <w:bookmarkStart w:id="47" w:name="_Toc130354923"/>
      <w:r>
        <w:rPr>
          <w:rFonts w:hint="eastAsia" w:cs="仿宋_GB2312" w:asciiTheme="minorEastAsia" w:hAnsiTheme="minorEastAsia" w:eastAsiaTheme="minorEastAsia"/>
          <w:b/>
          <w:sz w:val="24"/>
        </w:rPr>
        <w:t>6.2.1乙方工作</w:t>
      </w:r>
      <w:bookmarkEnd w:id="37"/>
      <w:bookmarkEnd w:id="38"/>
      <w:bookmarkEnd w:id="39"/>
      <w:bookmarkEnd w:id="40"/>
      <w:bookmarkEnd w:id="41"/>
      <w:bookmarkEnd w:id="42"/>
      <w:r>
        <w:rPr>
          <w:rFonts w:hint="eastAsia" w:cs="仿宋_GB2312" w:asciiTheme="minorEastAsia" w:hAnsiTheme="minorEastAsia" w:eastAsiaTheme="minorEastAsia"/>
          <w:b/>
          <w:sz w:val="24"/>
        </w:rPr>
        <w:t>要求</w:t>
      </w:r>
      <w:bookmarkEnd w:id="43"/>
      <w:bookmarkEnd w:id="44"/>
      <w:bookmarkEnd w:id="45"/>
      <w:bookmarkEnd w:id="46"/>
      <w:bookmarkEnd w:id="47"/>
    </w:p>
    <w:p w14:paraId="0EFE1D1A">
      <w:pPr>
        <w:pStyle w:val="49"/>
        <w:keepNext w:val="0"/>
        <w:keepLines w:val="0"/>
        <w:pageBreakBefore w:val="0"/>
        <w:kinsoku/>
        <w:wordWrap/>
        <w:overflowPunct/>
        <w:topLinePunct w:val="0"/>
        <w:autoSpaceDE/>
        <w:autoSpaceDN/>
        <w:bidi w:val="0"/>
        <w:adjustRightInd/>
        <w:snapToGrid/>
        <w:spacing w:after="0" w:line="420" w:lineRule="exact"/>
        <w:ind w:firstLine="0"/>
        <w:jc w:val="left"/>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b/>
          <w:sz w:val="24"/>
        </w:rPr>
        <w:t xml:space="preserve">    </w:t>
      </w:r>
      <w:r>
        <w:rPr>
          <w:rFonts w:hint="eastAsia" w:cs="仿宋_GB2312" w:asciiTheme="minorEastAsia" w:hAnsiTheme="minorEastAsia" w:eastAsiaTheme="minorEastAsia"/>
          <w:sz w:val="24"/>
        </w:rPr>
        <w:t>1) 乙方的上线调试与服务工作地点在首钢京唐现场。</w:t>
      </w:r>
    </w:p>
    <w:p w14:paraId="44D27E5A">
      <w:pPr>
        <w:pStyle w:val="49"/>
        <w:keepNext w:val="0"/>
        <w:keepLines w:val="0"/>
        <w:pageBreakBefore w:val="0"/>
        <w:kinsoku/>
        <w:wordWrap/>
        <w:overflowPunct/>
        <w:topLinePunct w:val="0"/>
        <w:autoSpaceDE/>
        <w:autoSpaceDN/>
        <w:bidi w:val="0"/>
        <w:adjustRightInd/>
        <w:snapToGrid/>
        <w:spacing w:after="0" w:line="420" w:lineRule="exact"/>
        <w:ind w:firstLine="552"/>
        <w:jc w:val="left"/>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2) 乙方的开发工作地点在乙方公司地区。</w:t>
      </w:r>
    </w:p>
    <w:p w14:paraId="54B2E41E">
      <w:pPr>
        <w:pStyle w:val="49"/>
        <w:keepNext w:val="0"/>
        <w:keepLines w:val="0"/>
        <w:pageBreakBefore w:val="0"/>
        <w:kinsoku/>
        <w:wordWrap/>
        <w:overflowPunct/>
        <w:topLinePunct w:val="0"/>
        <w:autoSpaceDE/>
        <w:autoSpaceDN/>
        <w:bidi w:val="0"/>
        <w:adjustRightInd/>
        <w:snapToGrid/>
        <w:spacing w:after="0" w:line="420" w:lineRule="exact"/>
        <w:ind w:firstLine="552"/>
        <w:jc w:val="left"/>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3) 乙方应制定有效的管理措施，确保系统的安全。</w:t>
      </w:r>
    </w:p>
    <w:p w14:paraId="326CC680">
      <w:pPr>
        <w:pStyle w:val="49"/>
        <w:keepNext w:val="0"/>
        <w:keepLines w:val="0"/>
        <w:pageBreakBefore w:val="0"/>
        <w:kinsoku/>
        <w:wordWrap/>
        <w:overflowPunct/>
        <w:topLinePunct w:val="0"/>
        <w:autoSpaceDE/>
        <w:autoSpaceDN/>
        <w:bidi w:val="0"/>
        <w:adjustRightInd/>
        <w:snapToGrid/>
        <w:spacing w:after="0" w:line="420" w:lineRule="exact"/>
        <w:ind w:firstLine="552"/>
        <w:jc w:val="left"/>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4) 进入现场，乙方应根据首钢京唐管理要求做好安全、保卫、保密、考勤和劳动纪律的管理。</w:t>
      </w:r>
    </w:p>
    <w:p w14:paraId="5E1C04FB">
      <w:pPr>
        <w:pStyle w:val="49"/>
        <w:keepNext w:val="0"/>
        <w:keepLines w:val="0"/>
        <w:pageBreakBefore w:val="0"/>
        <w:kinsoku/>
        <w:wordWrap/>
        <w:overflowPunct/>
        <w:topLinePunct w:val="0"/>
        <w:autoSpaceDE/>
        <w:autoSpaceDN/>
        <w:bidi w:val="0"/>
        <w:adjustRightInd/>
        <w:snapToGrid/>
        <w:spacing w:after="0" w:line="420" w:lineRule="exact"/>
        <w:ind w:firstLine="552"/>
        <w:jc w:val="left"/>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5) 乙方应按软件设计阶段列出投入的组织体制及人员名单并保持人员相对稳定，完成承担的任务，甲方按计划核对乙方人员到位情况。</w:t>
      </w:r>
    </w:p>
    <w:p w14:paraId="7C56FE2E">
      <w:pPr>
        <w:pStyle w:val="49"/>
        <w:keepNext w:val="0"/>
        <w:keepLines w:val="0"/>
        <w:pageBreakBefore w:val="0"/>
        <w:kinsoku/>
        <w:wordWrap/>
        <w:overflowPunct/>
        <w:topLinePunct w:val="0"/>
        <w:autoSpaceDE/>
        <w:autoSpaceDN/>
        <w:bidi w:val="0"/>
        <w:adjustRightInd/>
        <w:snapToGrid/>
        <w:spacing w:after="0" w:line="420" w:lineRule="exact"/>
        <w:ind w:firstLine="482" w:firstLineChars="200"/>
        <w:jc w:val="left"/>
        <w:textAlignment w:val="auto"/>
        <w:outlineLvl w:val="2"/>
        <w:rPr>
          <w:rFonts w:cs="仿宋_GB2312" w:asciiTheme="minorEastAsia" w:hAnsiTheme="minorEastAsia" w:eastAsiaTheme="minorEastAsia"/>
          <w:b/>
          <w:sz w:val="24"/>
        </w:rPr>
      </w:pPr>
      <w:bookmarkStart w:id="48" w:name="_Toc17283"/>
      <w:bookmarkStart w:id="49" w:name="_Toc10640"/>
      <w:bookmarkStart w:id="50" w:name="_Toc12177"/>
      <w:bookmarkStart w:id="51" w:name="_Toc32590"/>
      <w:bookmarkStart w:id="52" w:name="_Toc8881"/>
      <w:bookmarkStart w:id="53" w:name="_Toc27195"/>
      <w:bookmarkStart w:id="54" w:name="_Toc130445214"/>
      <w:bookmarkStart w:id="55" w:name="_Toc130355052"/>
      <w:bookmarkStart w:id="56" w:name="_Toc130354924"/>
      <w:bookmarkStart w:id="57" w:name="_Toc130355090"/>
      <w:bookmarkStart w:id="58" w:name="_Toc5803"/>
      <w:r>
        <w:rPr>
          <w:rFonts w:hint="eastAsia" w:cs="仿宋_GB2312" w:asciiTheme="minorEastAsia" w:hAnsiTheme="minorEastAsia" w:eastAsiaTheme="minorEastAsia"/>
          <w:b/>
          <w:sz w:val="24"/>
        </w:rPr>
        <w:t>6.2.2 甲方</w:t>
      </w:r>
      <w:bookmarkEnd w:id="48"/>
      <w:bookmarkEnd w:id="49"/>
      <w:bookmarkEnd w:id="50"/>
      <w:bookmarkEnd w:id="51"/>
      <w:bookmarkEnd w:id="52"/>
      <w:bookmarkEnd w:id="53"/>
      <w:r>
        <w:rPr>
          <w:rFonts w:hint="eastAsia" w:cs="仿宋_GB2312" w:asciiTheme="minorEastAsia" w:hAnsiTheme="minorEastAsia" w:eastAsiaTheme="minorEastAsia"/>
          <w:b/>
          <w:sz w:val="24"/>
        </w:rPr>
        <w:t>工作要求</w:t>
      </w:r>
      <w:bookmarkEnd w:id="54"/>
      <w:bookmarkEnd w:id="55"/>
      <w:bookmarkEnd w:id="56"/>
      <w:bookmarkEnd w:id="57"/>
      <w:bookmarkEnd w:id="58"/>
    </w:p>
    <w:p w14:paraId="6FB99140">
      <w:pPr>
        <w:pStyle w:val="49"/>
        <w:keepNext w:val="0"/>
        <w:keepLines w:val="0"/>
        <w:pageBreakBefore w:val="0"/>
        <w:kinsoku/>
        <w:wordWrap/>
        <w:overflowPunct/>
        <w:topLinePunct w:val="0"/>
        <w:autoSpaceDE/>
        <w:autoSpaceDN/>
        <w:bidi w:val="0"/>
        <w:adjustRightInd/>
        <w:snapToGrid/>
        <w:spacing w:after="0" w:line="420" w:lineRule="exact"/>
        <w:ind w:firstLine="0"/>
        <w:jc w:val="left"/>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 xml:space="preserve">    1)乙方应按照双方协议和商定接纳甲方人员参加各阶段工作， 甲方人员应按期到位。</w:t>
      </w:r>
    </w:p>
    <w:p w14:paraId="6CFC40A4">
      <w:pPr>
        <w:keepNext w:val="0"/>
        <w:keepLines w:val="0"/>
        <w:pageBreakBefore w:val="0"/>
        <w:kinsoku/>
        <w:wordWrap/>
        <w:overflowPunct/>
        <w:topLinePunct w:val="0"/>
        <w:autoSpaceDE/>
        <w:autoSpaceDN/>
        <w:bidi w:val="0"/>
        <w:adjustRightInd/>
        <w:snapToGrid/>
        <w:spacing w:after="0" w:line="420" w:lineRule="exact"/>
        <w:ind w:firstLine="480" w:firstLineChars="200"/>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2)甲方人员参加乙方工作，其主要目的是重点参加、全面掌握，根据协商结果也可承担部分子功能，这种场合下甲方参加人员将就自己承担的子功能对乙方负责。</w:t>
      </w:r>
    </w:p>
    <w:p w14:paraId="293CFE58">
      <w:pPr>
        <w:keepNext w:val="0"/>
        <w:keepLines w:val="0"/>
        <w:pageBreakBefore w:val="0"/>
        <w:kinsoku/>
        <w:wordWrap/>
        <w:overflowPunct/>
        <w:topLinePunct w:val="0"/>
        <w:autoSpaceDE/>
        <w:autoSpaceDN/>
        <w:bidi w:val="0"/>
        <w:adjustRightInd/>
        <w:snapToGrid/>
        <w:spacing w:after="0" w:line="420" w:lineRule="exact"/>
        <w:ind w:firstLine="480" w:firstLineChars="200"/>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3)为确保设计进度和设计质量，甲方分阶段对乙方进行阶段性检查和组织审查。乙方应积极配合，并做好组织、准备工作。</w:t>
      </w:r>
    </w:p>
    <w:p w14:paraId="02F6C1E0">
      <w:pPr>
        <w:keepNext w:val="0"/>
        <w:keepLines w:val="0"/>
        <w:pageBreakBefore w:val="0"/>
        <w:kinsoku/>
        <w:wordWrap/>
        <w:overflowPunct/>
        <w:topLinePunct w:val="0"/>
        <w:autoSpaceDE/>
        <w:autoSpaceDN/>
        <w:bidi w:val="0"/>
        <w:adjustRightInd/>
        <w:snapToGrid/>
        <w:spacing w:after="0" w:line="420" w:lineRule="exact"/>
        <w:ind w:firstLine="480" w:firstLineChars="200"/>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4)甲方审查（检查）后，以会议纪要形式明确相关问题，作为乙方下阶段继续工作的依据。</w:t>
      </w:r>
    </w:p>
    <w:bookmarkEnd w:id="26"/>
    <w:p w14:paraId="121A866A">
      <w:pPr>
        <w:keepNext w:val="0"/>
        <w:keepLines w:val="0"/>
        <w:pageBreakBefore w:val="0"/>
        <w:kinsoku/>
        <w:wordWrap/>
        <w:overflowPunct/>
        <w:topLinePunct w:val="0"/>
        <w:autoSpaceDE/>
        <w:autoSpaceDN/>
        <w:bidi w:val="0"/>
        <w:adjustRightInd/>
        <w:snapToGrid/>
        <w:spacing w:after="0" w:line="420" w:lineRule="exact"/>
        <w:textAlignment w:val="auto"/>
        <w:outlineLvl w:val="0"/>
        <w:rPr>
          <w:rFonts w:cs="仿宋_GB2312" w:asciiTheme="minorEastAsia" w:hAnsiTheme="minorEastAsia" w:eastAsiaTheme="minorEastAsia"/>
          <w:b/>
          <w:color w:val="000000"/>
          <w:sz w:val="24"/>
        </w:rPr>
      </w:pPr>
      <w:bookmarkStart w:id="59" w:name="_Toc130354926"/>
      <w:bookmarkStart w:id="60" w:name="_Toc130445216"/>
      <w:bookmarkStart w:id="61" w:name="_Toc12294"/>
      <w:bookmarkStart w:id="62" w:name="_Toc130355092"/>
      <w:bookmarkStart w:id="63" w:name="_Toc130355054"/>
      <w:r>
        <w:rPr>
          <w:rFonts w:hint="eastAsia" w:cs="仿宋_GB2312" w:asciiTheme="minorEastAsia" w:hAnsiTheme="minorEastAsia" w:eastAsiaTheme="minorEastAsia"/>
          <w:b/>
          <w:color w:val="000000"/>
          <w:sz w:val="24"/>
        </w:rPr>
        <w:t>七、调试培训及售后服务</w:t>
      </w:r>
      <w:bookmarkEnd w:id="59"/>
      <w:bookmarkEnd w:id="60"/>
      <w:bookmarkEnd w:id="61"/>
      <w:bookmarkEnd w:id="62"/>
      <w:bookmarkEnd w:id="63"/>
    </w:p>
    <w:p w14:paraId="23A61A1A">
      <w:pPr>
        <w:pStyle w:val="13"/>
        <w:keepNext w:val="0"/>
        <w:keepLines w:val="0"/>
        <w:pageBreakBefore w:val="0"/>
        <w:kinsoku/>
        <w:wordWrap/>
        <w:overflowPunct/>
        <w:topLinePunct w:val="0"/>
        <w:autoSpaceDE/>
        <w:autoSpaceDN/>
        <w:bidi w:val="0"/>
        <w:adjustRightInd/>
        <w:snapToGrid/>
        <w:spacing w:after="0" w:line="420" w:lineRule="exact"/>
        <w:ind w:left="0" w:leftChars="0" w:firstLine="482"/>
        <w:textAlignment w:val="auto"/>
        <w:outlineLvl w:val="1"/>
        <w:rPr>
          <w:rFonts w:cs="仿宋_GB2312" w:asciiTheme="minorEastAsia" w:hAnsiTheme="minorEastAsia" w:eastAsiaTheme="minorEastAsia"/>
          <w:b/>
          <w:sz w:val="24"/>
        </w:rPr>
      </w:pPr>
      <w:bookmarkStart w:id="64" w:name="_Toc31955"/>
      <w:bookmarkStart w:id="65" w:name="_Toc106280773"/>
      <w:bookmarkStart w:id="66" w:name="_Toc130445217"/>
      <w:bookmarkStart w:id="67" w:name="_Toc31191"/>
      <w:bookmarkStart w:id="68" w:name="_Toc130355055"/>
      <w:bookmarkStart w:id="69" w:name="_Toc130355093"/>
      <w:bookmarkStart w:id="70" w:name="_Toc130354927"/>
      <w:r>
        <w:rPr>
          <w:rFonts w:hint="eastAsia" w:cs="仿宋_GB2312" w:asciiTheme="minorEastAsia" w:hAnsiTheme="minorEastAsia" w:eastAsiaTheme="minorEastAsia"/>
          <w:b/>
          <w:sz w:val="24"/>
        </w:rPr>
        <w:t>7.1 调试及培训</w:t>
      </w:r>
      <w:bookmarkEnd w:id="64"/>
      <w:bookmarkEnd w:id="65"/>
      <w:bookmarkEnd w:id="66"/>
      <w:bookmarkEnd w:id="67"/>
      <w:bookmarkEnd w:id="68"/>
      <w:bookmarkEnd w:id="69"/>
      <w:bookmarkEnd w:id="70"/>
    </w:p>
    <w:p w14:paraId="79E9AB3C">
      <w:pPr>
        <w:pStyle w:val="30"/>
        <w:keepNext w:val="0"/>
        <w:keepLines w:val="0"/>
        <w:pageBreakBefore w:val="0"/>
        <w:widowControl w:val="0"/>
        <w:kinsoku/>
        <w:wordWrap/>
        <w:overflowPunct/>
        <w:topLinePunct w:val="0"/>
        <w:autoSpaceDE/>
        <w:autoSpaceDN/>
        <w:bidi w:val="0"/>
        <w:adjustRightInd/>
        <w:snapToGrid/>
        <w:spacing w:before="0" w:beforeAutospacing="0" w:after="0" w:afterAutospacing="0" w:line="420" w:lineRule="exact"/>
        <w:ind w:firstLine="480" w:firstLineChars="200"/>
        <w:contextualSpacing/>
        <w:jc w:val="both"/>
        <w:textAlignment w:val="auto"/>
        <w:rPr>
          <w:rFonts w:cs="仿宋_GB2312" w:asciiTheme="minorEastAsia" w:hAnsiTheme="minorEastAsia" w:eastAsiaTheme="minorEastAsia"/>
          <w:color w:val="000000" w:themeColor="text1"/>
          <w:kern w:val="2"/>
          <w14:textFill>
            <w14:solidFill>
              <w14:schemeClr w14:val="tx1"/>
            </w14:solidFill>
          </w14:textFill>
        </w:rPr>
      </w:pPr>
      <w:r>
        <w:rPr>
          <w:rFonts w:hint="eastAsia" w:cs="仿宋_GB2312" w:asciiTheme="minorEastAsia" w:hAnsiTheme="minorEastAsia" w:eastAsiaTheme="minorEastAsia"/>
          <w:color w:val="000000" w:themeColor="text1"/>
          <w:kern w:val="2"/>
          <w14:textFill>
            <w14:solidFill>
              <w14:schemeClr w14:val="tx1"/>
            </w14:solidFill>
          </w14:textFill>
        </w:rPr>
        <w:t>7.1.1调试</w:t>
      </w:r>
    </w:p>
    <w:p w14:paraId="65632B2C">
      <w:pPr>
        <w:pStyle w:val="30"/>
        <w:keepNext w:val="0"/>
        <w:keepLines w:val="0"/>
        <w:pageBreakBefore w:val="0"/>
        <w:widowControl w:val="0"/>
        <w:kinsoku/>
        <w:wordWrap/>
        <w:overflowPunct/>
        <w:topLinePunct w:val="0"/>
        <w:autoSpaceDE/>
        <w:autoSpaceDN/>
        <w:bidi w:val="0"/>
        <w:adjustRightInd/>
        <w:snapToGrid/>
        <w:spacing w:before="0" w:beforeAutospacing="0" w:after="0" w:afterAutospacing="0" w:line="420" w:lineRule="exact"/>
        <w:contextualSpacing/>
        <w:jc w:val="both"/>
        <w:textAlignment w:val="auto"/>
        <w:rPr>
          <w:rFonts w:cs="仿宋_GB2312" w:asciiTheme="minorEastAsia" w:hAnsiTheme="minorEastAsia" w:eastAsiaTheme="minorEastAsia"/>
          <w:color w:val="000000" w:themeColor="text1"/>
          <w:kern w:val="2"/>
          <w14:textFill>
            <w14:solidFill>
              <w14:schemeClr w14:val="tx1"/>
            </w14:solidFill>
          </w14:textFill>
        </w:rPr>
      </w:pPr>
      <w:r>
        <w:rPr>
          <w:rFonts w:hint="eastAsia" w:cs="仿宋_GB2312" w:asciiTheme="minorEastAsia" w:hAnsiTheme="minorEastAsia" w:eastAsiaTheme="minorEastAsia"/>
          <w:color w:val="000000" w:themeColor="text1"/>
          <w:kern w:val="2"/>
          <w14:textFill>
            <w14:solidFill>
              <w14:schemeClr w14:val="tx1"/>
            </w14:solidFill>
          </w14:textFill>
        </w:rPr>
        <w:t xml:space="preserve">    具体施工调试计划由乙方项目负责人到达现场后与甲方项目负责人共同商定，乙方项目负责人负责制定，并经甲方同意。乙方项目负责人将每天工作计划提前交给甲方项目负责人核实后，由乙方项目负责人按计划实施。现场调试过程中的项目协调工作由甲方负责协调。</w:t>
      </w:r>
    </w:p>
    <w:p w14:paraId="6ED4C319">
      <w:pPr>
        <w:pStyle w:val="30"/>
        <w:keepNext w:val="0"/>
        <w:keepLines w:val="0"/>
        <w:pageBreakBefore w:val="0"/>
        <w:widowControl w:val="0"/>
        <w:kinsoku/>
        <w:wordWrap/>
        <w:overflowPunct/>
        <w:topLinePunct w:val="0"/>
        <w:autoSpaceDE/>
        <w:autoSpaceDN/>
        <w:bidi w:val="0"/>
        <w:adjustRightInd/>
        <w:snapToGrid/>
        <w:spacing w:before="0" w:beforeAutospacing="0" w:after="0" w:afterAutospacing="0" w:line="420" w:lineRule="exact"/>
        <w:ind w:firstLine="480" w:firstLineChars="200"/>
        <w:contextualSpacing/>
        <w:jc w:val="both"/>
        <w:textAlignment w:val="auto"/>
        <w:rPr>
          <w:rFonts w:cs="仿宋_GB2312" w:asciiTheme="minorEastAsia" w:hAnsiTheme="minorEastAsia" w:eastAsiaTheme="minorEastAsia"/>
          <w:color w:val="000000" w:themeColor="text1"/>
          <w:kern w:val="2"/>
          <w14:textFill>
            <w14:solidFill>
              <w14:schemeClr w14:val="tx1"/>
            </w14:solidFill>
          </w14:textFill>
        </w:rPr>
      </w:pPr>
      <w:r>
        <w:rPr>
          <w:rFonts w:hint="eastAsia" w:cs="仿宋_GB2312" w:asciiTheme="minorEastAsia" w:hAnsiTheme="minorEastAsia" w:eastAsiaTheme="minorEastAsia"/>
          <w:color w:val="000000" w:themeColor="text1"/>
          <w:kern w:val="2"/>
          <w14:textFill>
            <w14:solidFill>
              <w14:schemeClr w14:val="tx1"/>
            </w14:solidFill>
          </w14:textFill>
        </w:rPr>
        <w:t>7.1.2培训</w:t>
      </w:r>
    </w:p>
    <w:p w14:paraId="62BE46AB">
      <w:pPr>
        <w:pStyle w:val="17"/>
        <w:keepNext w:val="0"/>
        <w:keepLines w:val="0"/>
        <w:pageBreakBefore w:val="0"/>
        <w:kinsoku/>
        <w:wordWrap/>
        <w:overflowPunct/>
        <w:topLinePunct w:val="0"/>
        <w:autoSpaceDE/>
        <w:autoSpaceDN/>
        <w:bidi w:val="0"/>
        <w:adjustRightInd/>
        <w:snapToGrid/>
        <w:spacing w:after="0" w:line="420" w:lineRule="exact"/>
        <w:ind w:firstLine="480" w:firstLineChars="200"/>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color w:val="000000" w:themeColor="text1"/>
          <w:sz w:val="24"/>
          <w14:textFill>
            <w14:solidFill>
              <w14:schemeClr w14:val="tx1"/>
            </w14:solidFill>
          </w14:textFill>
        </w:rPr>
        <w:t>乙方必须为甲方人员提供完善的培训，培训安排为集中授课至少3次，具体培训次数以保证甲方人员熟练掌握为准，重点培训以下内容</w:t>
      </w:r>
      <w:r>
        <w:rPr>
          <w:rFonts w:hint="eastAsia" w:cs="仿宋_GB2312" w:asciiTheme="minorEastAsia" w:hAnsiTheme="minorEastAsia" w:eastAsiaTheme="minorEastAsia"/>
          <w:sz w:val="24"/>
        </w:rPr>
        <w:t>：</w:t>
      </w:r>
    </w:p>
    <w:p w14:paraId="7E43F033">
      <w:pPr>
        <w:pStyle w:val="17"/>
        <w:keepNext w:val="0"/>
        <w:keepLines w:val="0"/>
        <w:pageBreakBefore w:val="0"/>
        <w:numPr>
          <w:ilvl w:val="0"/>
          <w:numId w:val="1"/>
        </w:numPr>
        <w:kinsoku/>
        <w:wordWrap/>
        <w:overflowPunct/>
        <w:topLinePunct w:val="0"/>
        <w:autoSpaceDE/>
        <w:autoSpaceDN/>
        <w:bidi w:val="0"/>
        <w:adjustRightInd/>
        <w:snapToGrid/>
        <w:spacing w:after="0" w:line="420" w:lineRule="exact"/>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数据采集原理说明，采集配置过程及方法；</w:t>
      </w:r>
    </w:p>
    <w:p w14:paraId="150D2D83">
      <w:pPr>
        <w:pStyle w:val="17"/>
        <w:keepNext w:val="0"/>
        <w:keepLines w:val="0"/>
        <w:pageBreakBefore w:val="0"/>
        <w:numPr>
          <w:ilvl w:val="0"/>
          <w:numId w:val="1"/>
        </w:numPr>
        <w:kinsoku/>
        <w:wordWrap/>
        <w:overflowPunct/>
        <w:topLinePunct w:val="0"/>
        <w:autoSpaceDE/>
        <w:autoSpaceDN/>
        <w:bidi w:val="0"/>
        <w:adjustRightInd/>
        <w:snapToGrid/>
        <w:spacing w:after="0" w:line="420" w:lineRule="exact"/>
        <w:textAlignment w:val="auto"/>
        <w:rPr>
          <w:rFonts w:cs="仿宋_GB2312" w:asciiTheme="minorEastAsia" w:hAnsiTheme="minorEastAsia" w:eastAsiaTheme="minorEastAsia"/>
          <w:sz w:val="24"/>
        </w:rPr>
      </w:pPr>
      <w:r>
        <w:rPr>
          <w:rFonts w:hint="eastAsia" w:cs="仿宋_GB2312" w:asciiTheme="minorEastAsia" w:hAnsiTheme="minorEastAsia" w:eastAsiaTheme="minorEastAsia"/>
          <w:sz w:val="24"/>
        </w:rPr>
        <w:t>整个系统的操作使用、日常维护和常见故障的解决方法。</w:t>
      </w:r>
    </w:p>
    <w:p w14:paraId="18DC231A">
      <w:pPr>
        <w:pStyle w:val="13"/>
        <w:keepNext w:val="0"/>
        <w:keepLines w:val="0"/>
        <w:pageBreakBefore w:val="0"/>
        <w:kinsoku/>
        <w:wordWrap/>
        <w:overflowPunct/>
        <w:topLinePunct w:val="0"/>
        <w:autoSpaceDE/>
        <w:autoSpaceDN/>
        <w:bidi w:val="0"/>
        <w:adjustRightInd/>
        <w:snapToGrid/>
        <w:spacing w:after="0" w:line="420" w:lineRule="exact"/>
        <w:ind w:left="0" w:leftChars="0" w:firstLine="482"/>
        <w:textAlignment w:val="auto"/>
        <w:outlineLvl w:val="1"/>
        <w:rPr>
          <w:rFonts w:cs="仿宋_GB2312" w:asciiTheme="minorEastAsia" w:hAnsiTheme="minorEastAsia" w:eastAsiaTheme="minorEastAsia"/>
          <w:b/>
          <w:sz w:val="24"/>
        </w:rPr>
      </w:pPr>
      <w:bookmarkStart w:id="71" w:name="_Toc106280774"/>
      <w:bookmarkStart w:id="72" w:name="_Toc130355056"/>
      <w:bookmarkStart w:id="73" w:name="_Toc25589"/>
      <w:bookmarkStart w:id="74" w:name="_Toc29922"/>
      <w:bookmarkStart w:id="75" w:name="_Toc130445218"/>
      <w:bookmarkStart w:id="76" w:name="_Toc130354928"/>
      <w:bookmarkStart w:id="77" w:name="_Toc130355094"/>
      <w:r>
        <w:rPr>
          <w:rFonts w:hint="eastAsia" w:cs="仿宋_GB2312" w:asciiTheme="minorEastAsia" w:hAnsiTheme="minorEastAsia" w:eastAsiaTheme="minorEastAsia"/>
          <w:b/>
          <w:sz w:val="24"/>
        </w:rPr>
        <w:t>7.2 质保售后服务</w:t>
      </w:r>
      <w:bookmarkEnd w:id="71"/>
      <w:bookmarkEnd w:id="72"/>
      <w:bookmarkEnd w:id="73"/>
      <w:bookmarkEnd w:id="74"/>
      <w:bookmarkEnd w:id="75"/>
      <w:bookmarkEnd w:id="76"/>
      <w:bookmarkEnd w:id="77"/>
    </w:p>
    <w:p w14:paraId="0BB95FAD">
      <w:pPr>
        <w:pStyle w:val="17"/>
        <w:keepNext w:val="0"/>
        <w:keepLines w:val="0"/>
        <w:pageBreakBefore w:val="0"/>
        <w:kinsoku/>
        <w:wordWrap/>
        <w:overflowPunct/>
        <w:topLinePunct w:val="0"/>
        <w:autoSpaceDE/>
        <w:autoSpaceDN/>
        <w:bidi w:val="0"/>
        <w:adjustRightInd/>
        <w:snapToGrid/>
        <w:spacing w:after="0" w:line="420" w:lineRule="exact"/>
        <w:ind w:firstLine="480" w:firstLineChars="200"/>
        <w:textAlignment w:val="auto"/>
        <w:rPr>
          <w:rFonts w:cs="仿宋_GB2312" w:asciiTheme="minorEastAsia" w:hAnsiTheme="minorEastAsia" w:eastAsiaTheme="minorEastAsia"/>
          <w:color w:val="000000" w:themeColor="text1"/>
          <w:sz w:val="24"/>
          <w14:textFill>
            <w14:solidFill>
              <w14:schemeClr w14:val="tx1"/>
            </w14:solidFill>
          </w14:textFill>
        </w:rPr>
      </w:pPr>
      <w:r>
        <w:rPr>
          <w:rFonts w:hint="eastAsia" w:cs="仿宋_GB2312" w:asciiTheme="minorEastAsia" w:hAnsiTheme="minorEastAsia" w:eastAsiaTheme="minorEastAsia"/>
          <w:color w:val="000000" w:themeColor="text1"/>
          <w:sz w:val="24"/>
          <w14:textFill>
            <w14:solidFill>
              <w14:schemeClr w14:val="tx1"/>
            </w14:solidFill>
          </w14:textFill>
        </w:rPr>
        <w:t>7.2.1质保期为设备上线投入使用后12个月，或验收后18个月。在质量保证期内，凡属系统设计不良、配套不当、调试不佳等原因造成损失的，乙方及时派员处理，费用由乙方承担。如果非乙方原因出现故障，但乙方积极配合处理。</w:t>
      </w:r>
    </w:p>
    <w:p w14:paraId="5EADD61B">
      <w:pPr>
        <w:pStyle w:val="17"/>
        <w:keepNext w:val="0"/>
        <w:keepLines w:val="0"/>
        <w:pageBreakBefore w:val="0"/>
        <w:kinsoku/>
        <w:wordWrap/>
        <w:overflowPunct/>
        <w:topLinePunct w:val="0"/>
        <w:autoSpaceDE/>
        <w:autoSpaceDN/>
        <w:bidi w:val="0"/>
        <w:adjustRightInd/>
        <w:snapToGrid/>
        <w:spacing w:after="0" w:line="420" w:lineRule="exact"/>
        <w:ind w:firstLine="480" w:firstLineChars="200"/>
        <w:textAlignment w:val="auto"/>
        <w:rPr>
          <w:rFonts w:cs="仿宋_GB2312" w:asciiTheme="minorEastAsia" w:hAnsiTheme="minorEastAsia" w:eastAsiaTheme="minorEastAsia"/>
          <w:color w:val="000000" w:themeColor="text1"/>
          <w:sz w:val="24"/>
          <w14:textFill>
            <w14:solidFill>
              <w14:schemeClr w14:val="tx1"/>
            </w14:solidFill>
          </w14:textFill>
        </w:rPr>
      </w:pPr>
      <w:r>
        <w:rPr>
          <w:rFonts w:hint="eastAsia" w:cs="仿宋_GB2312" w:asciiTheme="minorEastAsia" w:hAnsiTheme="minorEastAsia" w:eastAsiaTheme="minorEastAsia"/>
          <w:color w:val="000000" w:themeColor="text1"/>
          <w:sz w:val="24"/>
          <w14:textFill>
            <w14:solidFill>
              <w14:schemeClr w14:val="tx1"/>
            </w14:solidFill>
          </w14:textFill>
        </w:rPr>
        <w:t>7.2.2在质保期内如发现任何问题，接甲方通知后，要提供及时有效的技术支持，24小时内恢复系统运行，必要情况下48小时内派遣技术人员赶到现场处理。</w:t>
      </w:r>
    </w:p>
    <w:p w14:paraId="44C9A3EF">
      <w:pPr>
        <w:pStyle w:val="17"/>
        <w:keepNext w:val="0"/>
        <w:keepLines w:val="0"/>
        <w:pageBreakBefore w:val="0"/>
        <w:kinsoku/>
        <w:wordWrap/>
        <w:overflowPunct/>
        <w:topLinePunct w:val="0"/>
        <w:autoSpaceDE/>
        <w:autoSpaceDN/>
        <w:bidi w:val="0"/>
        <w:adjustRightInd/>
        <w:snapToGrid/>
        <w:spacing w:after="0" w:line="420" w:lineRule="exact"/>
        <w:ind w:firstLine="480" w:firstLineChars="200"/>
        <w:textAlignment w:val="auto"/>
        <w:rPr>
          <w:rFonts w:cs="仿宋_GB2312" w:asciiTheme="minorEastAsia" w:hAnsiTheme="minorEastAsia" w:eastAsiaTheme="minorEastAsia"/>
          <w:color w:val="000000" w:themeColor="text1"/>
          <w:sz w:val="24"/>
          <w14:textFill>
            <w14:solidFill>
              <w14:schemeClr w14:val="tx1"/>
            </w14:solidFill>
          </w14:textFill>
        </w:rPr>
      </w:pPr>
      <w:r>
        <w:rPr>
          <w:rFonts w:hint="eastAsia" w:cs="仿宋_GB2312" w:asciiTheme="minorEastAsia" w:hAnsiTheme="minorEastAsia" w:eastAsiaTheme="minorEastAsia"/>
          <w:color w:val="000000" w:themeColor="text1"/>
          <w:sz w:val="24"/>
          <w14:textFill>
            <w14:solidFill>
              <w14:schemeClr w14:val="tx1"/>
            </w14:solidFill>
          </w14:textFill>
        </w:rPr>
        <w:t>7.2.3系统热试到验收期间，乙方必须一直有技术人员现场监护。质保期内，不定期到现场了解系统运行情况，及时掌握系统运行状态，提供相应的技术支持。</w:t>
      </w:r>
    </w:p>
    <w:p w14:paraId="1801C066">
      <w:pPr>
        <w:pStyle w:val="30"/>
        <w:keepNext w:val="0"/>
        <w:keepLines w:val="0"/>
        <w:pageBreakBefore w:val="0"/>
        <w:widowControl w:val="0"/>
        <w:kinsoku/>
        <w:wordWrap/>
        <w:overflowPunct/>
        <w:topLinePunct w:val="0"/>
        <w:autoSpaceDE/>
        <w:autoSpaceDN/>
        <w:bidi w:val="0"/>
        <w:adjustRightInd/>
        <w:snapToGrid/>
        <w:spacing w:before="0" w:beforeAutospacing="0" w:after="0" w:afterAutospacing="0" w:line="420" w:lineRule="exact"/>
        <w:ind w:firstLine="480" w:firstLineChars="200"/>
        <w:contextualSpacing/>
        <w:jc w:val="both"/>
        <w:textAlignment w:val="auto"/>
        <w:rPr>
          <w:rFonts w:cs="仿宋_GB2312" w:asciiTheme="minorEastAsia" w:hAnsiTheme="minorEastAsia" w:eastAsiaTheme="minorEastAsia"/>
          <w:color w:val="000000" w:themeColor="text1"/>
          <w:kern w:val="2"/>
          <w14:textFill>
            <w14:solidFill>
              <w14:schemeClr w14:val="tx1"/>
            </w14:solidFill>
          </w14:textFill>
        </w:rPr>
      </w:pPr>
      <w:r>
        <w:rPr>
          <w:rFonts w:hint="eastAsia" w:cs="仿宋_GB2312" w:asciiTheme="minorEastAsia" w:hAnsiTheme="minorEastAsia" w:eastAsiaTheme="minorEastAsia"/>
          <w:color w:val="000000" w:themeColor="text1"/>
          <w14:textFill>
            <w14:solidFill>
              <w14:schemeClr w14:val="tx1"/>
            </w14:solidFill>
          </w14:textFill>
        </w:rPr>
        <w:t>7.2.4</w:t>
      </w:r>
      <w:r>
        <w:rPr>
          <w:rFonts w:hint="eastAsia" w:cs="仿宋_GB2312" w:asciiTheme="minorEastAsia" w:hAnsiTheme="minorEastAsia" w:eastAsiaTheme="minorEastAsia"/>
          <w:color w:val="000000" w:themeColor="text1"/>
          <w:kern w:val="2"/>
          <w14:textFill>
            <w14:solidFill>
              <w14:schemeClr w14:val="tx1"/>
            </w14:solidFill>
          </w14:textFill>
        </w:rPr>
        <w:t>系统投入运行后，乙方将根据具体情况对提供的所有设备长期进行跟踪，</w:t>
      </w:r>
      <w:r>
        <w:rPr>
          <w:rFonts w:hint="eastAsia" w:cs="仿宋_GB2312" w:asciiTheme="minorEastAsia" w:hAnsiTheme="minorEastAsia" w:eastAsiaTheme="minorEastAsia"/>
          <w:color w:val="000000" w:themeColor="text1"/>
          <w14:textFill>
            <w14:solidFill>
              <w14:schemeClr w14:val="tx1"/>
            </w14:solidFill>
          </w14:textFill>
        </w:rPr>
        <w:t>不定期对设备与生产运行状况进行回访，</w:t>
      </w:r>
      <w:r>
        <w:rPr>
          <w:rFonts w:hint="eastAsia" w:cs="仿宋_GB2312" w:asciiTheme="minorEastAsia" w:hAnsiTheme="minorEastAsia" w:eastAsiaTheme="minorEastAsia"/>
          <w:color w:val="000000" w:themeColor="text1"/>
          <w:kern w:val="2"/>
          <w14:textFill>
            <w14:solidFill>
              <w14:schemeClr w14:val="tx1"/>
            </w14:solidFill>
          </w14:textFill>
        </w:rPr>
        <w:t>提供技术支持。</w:t>
      </w:r>
    </w:p>
    <w:p w14:paraId="0B21FD38">
      <w:pPr>
        <w:pStyle w:val="17"/>
        <w:keepNext w:val="0"/>
        <w:keepLines w:val="0"/>
        <w:pageBreakBefore w:val="0"/>
        <w:kinsoku/>
        <w:wordWrap/>
        <w:overflowPunct/>
        <w:topLinePunct w:val="0"/>
        <w:autoSpaceDE/>
        <w:autoSpaceDN/>
        <w:bidi w:val="0"/>
        <w:adjustRightInd/>
        <w:snapToGrid/>
        <w:spacing w:after="0" w:line="420" w:lineRule="exact"/>
        <w:ind w:firstLine="480" w:firstLineChars="200"/>
        <w:textAlignment w:val="auto"/>
        <w:rPr>
          <w:rFonts w:cs="仿宋_GB2312" w:asciiTheme="minorEastAsia" w:hAnsiTheme="minorEastAsia" w:eastAsiaTheme="minorEastAsia"/>
          <w:color w:val="000000" w:themeColor="text1"/>
          <w:sz w:val="24"/>
          <w14:textFill>
            <w14:solidFill>
              <w14:schemeClr w14:val="tx1"/>
            </w14:solidFill>
          </w14:textFill>
        </w:rPr>
      </w:pPr>
      <w:r>
        <w:rPr>
          <w:rFonts w:hint="eastAsia" w:cs="仿宋_GB2312" w:asciiTheme="minorEastAsia" w:hAnsiTheme="minorEastAsia" w:eastAsiaTheme="minorEastAsia"/>
          <w:color w:val="000000" w:themeColor="text1"/>
          <w:sz w:val="24"/>
          <w14:textFill>
            <w14:solidFill>
              <w14:schemeClr w14:val="tx1"/>
            </w14:solidFill>
          </w14:textFill>
        </w:rPr>
        <w:t>7.2.5质保期外，不论由于系统本身故障、人为因素还是外部客观因素导致系统无法正常运行，乙方均需要提供技术支持，配合甲方进行处理。</w:t>
      </w:r>
    </w:p>
    <w:p w14:paraId="68BCC154">
      <w:pPr>
        <w:keepNext w:val="0"/>
        <w:keepLines w:val="0"/>
        <w:pageBreakBefore w:val="0"/>
        <w:kinsoku/>
        <w:wordWrap/>
        <w:overflowPunct/>
        <w:topLinePunct w:val="0"/>
        <w:autoSpaceDE/>
        <w:autoSpaceDN/>
        <w:bidi w:val="0"/>
        <w:adjustRightInd/>
        <w:snapToGrid/>
        <w:spacing w:after="0" w:line="420" w:lineRule="exact"/>
        <w:ind w:firstLine="241" w:firstLineChars="100"/>
        <w:textAlignment w:val="auto"/>
        <w:outlineLvl w:val="0"/>
        <w:rPr>
          <w:rFonts w:cs="仿宋_GB2312" w:asciiTheme="minorEastAsia" w:hAnsiTheme="minorEastAsia" w:eastAsiaTheme="minorEastAsia"/>
          <w:b/>
          <w:color w:val="000000"/>
          <w:sz w:val="24"/>
        </w:rPr>
      </w:pPr>
      <w:r>
        <w:rPr>
          <w:rFonts w:hint="eastAsia" w:cs="仿宋_GB2312" w:asciiTheme="minorEastAsia" w:hAnsiTheme="minorEastAsia" w:eastAsiaTheme="minorEastAsia"/>
          <w:b/>
          <w:color w:val="000000"/>
          <w:sz w:val="24"/>
        </w:rPr>
        <w:t>八、交货时间和地点</w:t>
      </w:r>
    </w:p>
    <w:p w14:paraId="27F2C21F">
      <w:pPr>
        <w:pStyle w:val="17"/>
        <w:keepNext w:val="0"/>
        <w:keepLines w:val="0"/>
        <w:pageBreakBefore w:val="0"/>
        <w:kinsoku/>
        <w:wordWrap/>
        <w:overflowPunct/>
        <w:topLinePunct w:val="0"/>
        <w:autoSpaceDE/>
        <w:autoSpaceDN/>
        <w:bidi w:val="0"/>
        <w:adjustRightInd/>
        <w:snapToGrid/>
        <w:spacing w:after="0" w:line="420" w:lineRule="exact"/>
        <w:ind w:firstLine="720" w:firstLineChars="300"/>
        <w:textAlignment w:val="auto"/>
        <w:rPr>
          <w:rFonts w:cs="仿宋_GB2312" w:asciiTheme="minorEastAsia" w:hAnsiTheme="minorEastAsia" w:eastAsiaTheme="minorEastAsia"/>
          <w:color w:val="000000" w:themeColor="text1"/>
          <w:sz w:val="24"/>
          <w14:textFill>
            <w14:solidFill>
              <w14:schemeClr w14:val="tx1"/>
            </w14:solidFill>
          </w14:textFill>
        </w:rPr>
      </w:pPr>
      <w:r>
        <w:rPr>
          <w:rFonts w:hint="eastAsia" w:cs="仿宋_GB2312" w:asciiTheme="minorEastAsia" w:hAnsiTheme="minorEastAsia" w:eastAsiaTheme="minorEastAsia"/>
          <w:color w:val="000000" w:themeColor="text1"/>
          <w:sz w:val="24"/>
          <w14:textFill>
            <w14:solidFill>
              <w14:schemeClr w14:val="tx1"/>
            </w14:solidFill>
          </w14:textFill>
        </w:rPr>
        <w:t>合同生效后</w:t>
      </w:r>
      <w:r>
        <w:rPr>
          <w:rFonts w:cs="仿宋_GB2312" w:asciiTheme="minorEastAsia" w:hAnsiTheme="minorEastAsia" w:eastAsiaTheme="minorEastAsia"/>
          <w:color w:val="000000" w:themeColor="text1"/>
          <w:sz w:val="24"/>
          <w14:textFill>
            <w14:solidFill>
              <w14:schemeClr w14:val="tx1"/>
            </w14:solidFill>
          </w14:textFill>
        </w:rPr>
        <w:t>90</w:t>
      </w:r>
      <w:r>
        <w:rPr>
          <w:rFonts w:hint="eastAsia" w:cs="仿宋_GB2312" w:asciiTheme="minorEastAsia" w:hAnsiTheme="minorEastAsia" w:eastAsiaTheme="minorEastAsia"/>
          <w:color w:val="000000" w:themeColor="text1"/>
          <w:sz w:val="24"/>
          <w14:textFill>
            <w14:solidFill>
              <w14:schemeClr w14:val="tx1"/>
            </w14:solidFill>
          </w14:textFill>
        </w:rPr>
        <w:t>天之内，投标方交货到首钢京唐钢铁联合有限责任公司钢轧作业部现场。</w:t>
      </w:r>
    </w:p>
    <w:p w14:paraId="686F116F">
      <w:pPr>
        <w:pStyle w:val="67"/>
        <w:keepNext w:val="0"/>
        <w:keepLines w:val="0"/>
        <w:pageBreakBefore w:val="0"/>
        <w:kinsoku/>
        <w:wordWrap/>
        <w:overflowPunct/>
        <w:topLinePunct w:val="0"/>
        <w:autoSpaceDE/>
        <w:autoSpaceDN/>
        <w:bidi w:val="0"/>
        <w:adjustRightInd/>
        <w:snapToGrid/>
        <w:spacing w:line="420" w:lineRule="exact"/>
        <w:ind w:left="0" w:firstLine="281" w:firstLineChars="100"/>
        <w:jc w:val="both"/>
        <w:textAlignment w:val="auto"/>
        <w:rPr>
          <w:b/>
          <w:bCs/>
          <w:sz w:val="28"/>
          <w:szCs w:val="28"/>
          <w:lang w:eastAsia="zh-CN"/>
        </w:rPr>
      </w:pPr>
      <w:r>
        <w:rPr>
          <w:rFonts w:hint="eastAsia"/>
          <w:b/>
          <w:bCs/>
          <w:sz w:val="28"/>
          <w:szCs w:val="28"/>
          <w:lang w:val="en-US" w:eastAsia="zh-CN"/>
        </w:rPr>
        <w:t>九、设备</w:t>
      </w:r>
      <w:r>
        <w:rPr>
          <w:rFonts w:hint="eastAsia"/>
          <w:b/>
          <w:bCs/>
          <w:sz w:val="28"/>
          <w:szCs w:val="28"/>
          <w:lang w:eastAsia="zh-CN"/>
        </w:rPr>
        <w:t>验收</w:t>
      </w:r>
    </w:p>
    <w:p w14:paraId="708C71BE">
      <w:pPr>
        <w:keepNext w:val="0"/>
        <w:keepLines w:val="0"/>
        <w:pageBreakBefore w:val="0"/>
        <w:kinsoku/>
        <w:wordWrap/>
        <w:overflowPunct/>
        <w:topLinePunct w:val="0"/>
        <w:autoSpaceDE/>
        <w:autoSpaceDN/>
        <w:bidi w:val="0"/>
        <w:adjustRightInd/>
        <w:snapToGrid/>
        <w:spacing w:after="0" w:line="420" w:lineRule="exact"/>
        <w:ind w:firstLine="241" w:firstLineChars="100"/>
        <w:textAlignment w:val="auto"/>
        <w:outlineLvl w:val="0"/>
        <w:rPr>
          <w:rFonts w:cs="仿宋_GB2312" w:asciiTheme="minorEastAsia" w:hAnsiTheme="minorEastAsia" w:eastAsiaTheme="minorEastAsia"/>
          <w:b/>
          <w:color w:val="000000"/>
          <w:sz w:val="24"/>
        </w:rPr>
      </w:pPr>
      <w:r>
        <w:rPr>
          <w:rFonts w:hint="eastAsia" w:cs="仿宋_GB2312" w:asciiTheme="minorEastAsia" w:hAnsiTheme="minorEastAsia" w:eastAsiaTheme="minorEastAsia"/>
          <w:b/>
          <w:color w:val="000000"/>
          <w:sz w:val="24"/>
        </w:rPr>
        <w:t xml:space="preserve">  </w:t>
      </w:r>
      <w:r>
        <w:rPr>
          <w:rFonts w:cs="仿宋_GB2312" w:asciiTheme="minorEastAsia" w:hAnsiTheme="minorEastAsia" w:eastAsiaTheme="minorEastAsia"/>
          <w:b/>
          <w:color w:val="000000"/>
          <w:sz w:val="24"/>
        </w:rPr>
        <w:t>9.1</w:t>
      </w:r>
      <w:r>
        <w:rPr>
          <w:rFonts w:hint="eastAsia" w:cs="仿宋_GB2312" w:asciiTheme="minorEastAsia" w:hAnsiTheme="minorEastAsia" w:eastAsiaTheme="minorEastAsia"/>
          <w:b/>
          <w:color w:val="000000"/>
          <w:sz w:val="24"/>
        </w:rPr>
        <w:t xml:space="preserve"> 预验收</w:t>
      </w:r>
    </w:p>
    <w:p w14:paraId="2373A1C9">
      <w:pPr>
        <w:pStyle w:val="67"/>
        <w:keepNext w:val="0"/>
        <w:keepLines w:val="0"/>
        <w:pageBreakBefore w:val="0"/>
        <w:kinsoku/>
        <w:wordWrap/>
        <w:overflowPunct/>
        <w:topLinePunct w:val="0"/>
        <w:autoSpaceDE/>
        <w:autoSpaceDN/>
        <w:bidi w:val="0"/>
        <w:adjustRightInd/>
        <w:snapToGrid/>
        <w:spacing w:line="420" w:lineRule="exact"/>
        <w:ind w:left="0"/>
        <w:jc w:val="both"/>
        <w:textAlignment w:val="auto"/>
        <w:rPr>
          <w:lang w:eastAsia="zh-CN"/>
        </w:rPr>
      </w:pPr>
      <w:r>
        <w:rPr>
          <w:rFonts w:hint="eastAsia"/>
          <w:lang w:eastAsia="zh-CN"/>
        </w:rPr>
        <w:t xml:space="preserve">     根据国家有关标准的要求进行预验收，对发货到现场的仪表等设备出现外包装或设备外观损坏、数量不全或与合同中的订货技术要求不符等问题时，投标方应立即整改。</w:t>
      </w:r>
    </w:p>
    <w:p w14:paraId="6971FDB2">
      <w:pPr>
        <w:pStyle w:val="67"/>
        <w:keepNext w:val="0"/>
        <w:keepLines w:val="0"/>
        <w:pageBreakBefore w:val="0"/>
        <w:kinsoku/>
        <w:wordWrap/>
        <w:overflowPunct/>
        <w:topLinePunct w:val="0"/>
        <w:autoSpaceDE/>
        <w:autoSpaceDN/>
        <w:bidi w:val="0"/>
        <w:adjustRightInd/>
        <w:snapToGrid/>
        <w:spacing w:line="420" w:lineRule="exact"/>
        <w:ind w:left="0"/>
        <w:jc w:val="both"/>
        <w:textAlignment w:val="auto"/>
        <w:rPr>
          <w:lang w:eastAsia="zh-CN"/>
        </w:rPr>
      </w:pPr>
      <w:r>
        <w:rPr>
          <w:rFonts w:hint="eastAsia"/>
          <w:lang w:eastAsia="zh-CN"/>
        </w:rPr>
        <w:t xml:space="preserve">      在仪表到现场验收时，投标方需要提供仪表的相关出厂合格证等证书材料。</w:t>
      </w:r>
    </w:p>
    <w:p w14:paraId="4C4F385F">
      <w:pPr>
        <w:keepNext w:val="0"/>
        <w:keepLines w:val="0"/>
        <w:pageBreakBefore w:val="0"/>
        <w:kinsoku/>
        <w:wordWrap/>
        <w:overflowPunct/>
        <w:topLinePunct w:val="0"/>
        <w:autoSpaceDE/>
        <w:autoSpaceDN/>
        <w:bidi w:val="0"/>
        <w:adjustRightInd/>
        <w:snapToGrid/>
        <w:spacing w:after="0" w:line="420" w:lineRule="exact"/>
        <w:ind w:firstLine="211" w:firstLineChars="100"/>
        <w:textAlignment w:val="auto"/>
        <w:outlineLvl w:val="0"/>
        <w:rPr>
          <w:b/>
          <w:bCs/>
        </w:rPr>
      </w:pPr>
      <w:r>
        <w:rPr>
          <w:rFonts w:hint="eastAsia"/>
          <w:b/>
          <w:bCs/>
        </w:rPr>
        <w:t xml:space="preserve">   </w:t>
      </w:r>
      <w:r>
        <w:rPr>
          <w:rFonts w:cs="仿宋_GB2312" w:asciiTheme="minorEastAsia" w:hAnsiTheme="minorEastAsia" w:eastAsiaTheme="minorEastAsia"/>
          <w:b/>
          <w:color w:val="000000"/>
          <w:sz w:val="24"/>
        </w:rPr>
        <w:t>9.</w:t>
      </w:r>
      <w:r>
        <w:rPr>
          <w:rFonts w:hint="eastAsia" w:cs="仿宋_GB2312" w:asciiTheme="minorEastAsia" w:hAnsiTheme="minorEastAsia" w:eastAsiaTheme="minorEastAsia"/>
          <w:b/>
          <w:color w:val="000000"/>
          <w:sz w:val="24"/>
        </w:rPr>
        <w:t>2  设备可靠性验收要求</w:t>
      </w:r>
    </w:p>
    <w:p w14:paraId="30B8DF51">
      <w:pPr>
        <w:pStyle w:val="17"/>
        <w:keepNext w:val="0"/>
        <w:keepLines w:val="0"/>
        <w:pageBreakBefore w:val="0"/>
        <w:kinsoku/>
        <w:wordWrap/>
        <w:overflowPunct/>
        <w:topLinePunct w:val="0"/>
        <w:autoSpaceDE/>
        <w:autoSpaceDN/>
        <w:bidi w:val="0"/>
        <w:adjustRightInd/>
        <w:snapToGrid/>
        <w:spacing w:line="420" w:lineRule="exact"/>
        <w:ind w:right="1163" w:rightChars="554" w:firstLine="420" w:firstLineChars="200"/>
        <w:textAlignment w:val="auto"/>
        <w:rPr>
          <w:rFonts w:ascii="Times New Roman" w:hAnsi="Times New Roman"/>
          <w:kern w:val="0"/>
          <w:sz w:val="24"/>
          <w:lang w:val="de-DE"/>
        </w:rPr>
      </w:pPr>
      <w:r>
        <w:rPr>
          <w:lang w:val="de-DE" w:eastAsia="de-DE"/>
        </w:rPr>
        <w:pict>
          <v:shape id="Object 37" o:spid="_x0000_s1026" o:spt="75" type="#_x0000_t75" style="position:absolute;left:0pt;margin-left:93.15pt;margin-top:27.75pt;height:38pt;width:115.2pt;mso-wrap-distance-bottom:0pt;mso-wrap-distance-top:0pt;z-index:251659264;mso-width-relative:page;mso-height-relative:page;" o:ole="t" filled="f" o:preferrelative="t" stroked="f" coordsize="21600,21600" o:allowincell="f">
            <v:path/>
            <v:fill on="f" focussize="0,0"/>
            <v:stroke on="f" joinstyle="miter"/>
            <v:imagedata r:id="rId9" o:title=""/>
            <o:lock v:ext="edit" aspectratio="t"/>
            <w10:wrap type="topAndBottom"/>
          </v:shape>
          <o:OLEObject Type="Embed" ProgID="Equation.3" ShapeID="Object 37" DrawAspect="Content" ObjectID="_1468075725" r:id="rId8">
            <o:LockedField>false</o:LockedField>
          </o:OLEObject>
        </w:pict>
      </w:r>
      <w:r>
        <w:rPr>
          <w:rFonts w:hint="eastAsia" w:ascii="Times New Roman" w:hAnsi="Times New Roman"/>
          <w:kern w:val="0"/>
          <w:sz w:val="24"/>
          <w:lang w:val="de-DE"/>
        </w:rPr>
        <w:t>计量仪表</w:t>
      </w:r>
      <w:r>
        <w:rPr>
          <w:rFonts w:ascii="Times New Roman" w:hAnsi="Times New Roman"/>
          <w:kern w:val="0"/>
          <w:sz w:val="24"/>
          <w:lang w:val="de-DE"/>
        </w:rPr>
        <w:t>的设备可靠性</w:t>
      </w:r>
      <w:r>
        <w:rPr>
          <w:rFonts w:hint="eastAsia" w:ascii="Times New Roman" w:hAnsi="Times New Roman"/>
          <w:kern w:val="0"/>
          <w:sz w:val="24"/>
          <w:lang w:val="de-DE"/>
        </w:rPr>
        <w:t>必须</w:t>
      </w:r>
      <w:r>
        <w:rPr>
          <w:rFonts w:ascii="Times New Roman" w:hAnsi="Times New Roman"/>
          <w:kern w:val="0"/>
          <w:sz w:val="24"/>
          <w:lang w:val="de-DE"/>
        </w:rPr>
        <w:t>高于99.5%，参照公式</w:t>
      </w:r>
      <w:r>
        <w:rPr>
          <w:rFonts w:hint="eastAsia" w:ascii="Times New Roman" w:hAnsi="Times New Roman"/>
          <w:kern w:val="0"/>
          <w:sz w:val="24"/>
          <w:lang w:val="de-DE"/>
        </w:rPr>
        <w:t>：</w:t>
      </w:r>
    </w:p>
    <w:p w14:paraId="46E0BCEC">
      <w:pPr>
        <w:pStyle w:val="17"/>
        <w:keepNext w:val="0"/>
        <w:keepLines w:val="0"/>
        <w:pageBreakBefore w:val="0"/>
        <w:tabs>
          <w:tab w:val="left" w:pos="1531"/>
        </w:tabs>
        <w:kinsoku/>
        <w:wordWrap/>
        <w:overflowPunct/>
        <w:topLinePunct w:val="0"/>
        <w:autoSpaceDE/>
        <w:autoSpaceDN/>
        <w:bidi w:val="0"/>
        <w:adjustRightInd/>
        <w:snapToGrid/>
        <w:spacing w:after="0" w:line="420" w:lineRule="exact"/>
        <w:ind w:right="1163" w:rightChars="554" w:firstLine="720" w:firstLineChars="300"/>
        <w:textAlignment w:val="auto"/>
        <w:rPr>
          <w:rFonts w:ascii="Times New Roman" w:hAnsi="Times New Roman"/>
          <w:kern w:val="0"/>
          <w:sz w:val="24"/>
          <w:lang w:val="de-DE"/>
        </w:rPr>
      </w:pPr>
      <w:r>
        <w:rPr>
          <w:rFonts w:ascii="Times New Roman" w:hAnsi="Times New Roman"/>
          <w:kern w:val="0"/>
          <w:sz w:val="24"/>
          <w:lang w:val="de-DE"/>
        </w:rPr>
        <w:t>K：可靠性</w:t>
      </w:r>
    </w:p>
    <w:p w14:paraId="4A27B7E7">
      <w:pPr>
        <w:pStyle w:val="17"/>
        <w:keepNext w:val="0"/>
        <w:keepLines w:val="0"/>
        <w:pageBreakBefore w:val="0"/>
        <w:tabs>
          <w:tab w:val="left" w:pos="1531"/>
        </w:tabs>
        <w:kinsoku/>
        <w:wordWrap/>
        <w:overflowPunct/>
        <w:topLinePunct w:val="0"/>
        <w:autoSpaceDE/>
        <w:autoSpaceDN/>
        <w:bidi w:val="0"/>
        <w:adjustRightInd/>
        <w:snapToGrid/>
        <w:spacing w:after="0" w:line="420" w:lineRule="exact"/>
        <w:ind w:right="1163" w:rightChars="554" w:firstLine="720" w:firstLineChars="300"/>
        <w:textAlignment w:val="auto"/>
        <w:rPr>
          <w:rFonts w:ascii="Times New Roman" w:hAnsi="Times New Roman"/>
          <w:kern w:val="0"/>
          <w:sz w:val="24"/>
          <w:lang w:val="de-DE"/>
        </w:rPr>
      </w:pPr>
      <w:r>
        <w:rPr>
          <w:rFonts w:ascii="Times New Roman" w:hAnsi="Times New Roman"/>
          <w:kern w:val="0"/>
          <w:sz w:val="24"/>
          <w:lang w:val="de-DE"/>
        </w:rPr>
        <w:t>T：运行总时间</w:t>
      </w:r>
    </w:p>
    <w:p w14:paraId="18E36D4D">
      <w:pPr>
        <w:pStyle w:val="17"/>
        <w:keepNext w:val="0"/>
        <w:keepLines w:val="0"/>
        <w:pageBreakBefore w:val="0"/>
        <w:tabs>
          <w:tab w:val="left" w:pos="1531"/>
        </w:tabs>
        <w:kinsoku/>
        <w:wordWrap/>
        <w:overflowPunct/>
        <w:topLinePunct w:val="0"/>
        <w:autoSpaceDE/>
        <w:autoSpaceDN/>
        <w:bidi w:val="0"/>
        <w:adjustRightInd/>
        <w:snapToGrid/>
        <w:spacing w:after="0" w:line="420" w:lineRule="exact"/>
        <w:ind w:right="1163" w:rightChars="554" w:firstLine="720" w:firstLineChars="300"/>
        <w:textAlignment w:val="auto"/>
        <w:rPr>
          <w:rFonts w:ascii="Times New Roman" w:hAnsi="Times New Roman"/>
          <w:kern w:val="0"/>
          <w:sz w:val="24"/>
          <w:lang w:val="de-DE"/>
        </w:rPr>
      </w:pPr>
      <w:r>
        <w:rPr>
          <w:rFonts w:ascii="Times New Roman" w:hAnsi="Times New Roman"/>
          <w:kern w:val="0"/>
          <w:sz w:val="24"/>
          <w:lang w:val="de-DE"/>
        </w:rPr>
        <w:t>TF：故障时间；</w:t>
      </w:r>
    </w:p>
    <w:p w14:paraId="5F92A8DC">
      <w:pPr>
        <w:pStyle w:val="67"/>
        <w:keepNext w:val="0"/>
        <w:keepLines w:val="0"/>
        <w:pageBreakBefore w:val="0"/>
        <w:kinsoku/>
        <w:wordWrap/>
        <w:overflowPunct/>
        <w:topLinePunct w:val="0"/>
        <w:autoSpaceDE/>
        <w:autoSpaceDN/>
        <w:bidi w:val="0"/>
        <w:adjustRightInd/>
        <w:snapToGrid/>
        <w:spacing w:after="0" w:line="420" w:lineRule="exact"/>
        <w:ind w:left="0" w:firstLine="281" w:firstLineChars="100"/>
        <w:jc w:val="both"/>
        <w:textAlignment w:val="auto"/>
        <w:rPr>
          <w:b/>
          <w:bCs/>
          <w:sz w:val="28"/>
          <w:szCs w:val="28"/>
          <w:lang w:val="en-US" w:eastAsia="zh-CN"/>
        </w:rPr>
      </w:pPr>
      <w:r>
        <w:rPr>
          <w:rFonts w:hint="eastAsia"/>
          <w:b/>
          <w:bCs/>
          <w:sz w:val="28"/>
          <w:szCs w:val="28"/>
          <w:lang w:val="en-US" w:eastAsia="zh-CN"/>
        </w:rPr>
        <w:t>十、其它</w:t>
      </w:r>
    </w:p>
    <w:p w14:paraId="3A130AD1">
      <w:pPr>
        <w:keepNext w:val="0"/>
        <w:keepLines w:val="0"/>
        <w:pageBreakBefore w:val="0"/>
        <w:kinsoku/>
        <w:wordWrap/>
        <w:overflowPunct/>
        <w:topLinePunct w:val="0"/>
        <w:autoSpaceDE/>
        <w:autoSpaceDN/>
        <w:bidi w:val="0"/>
        <w:adjustRightInd/>
        <w:snapToGrid/>
        <w:spacing w:after="0" w:line="420" w:lineRule="exact"/>
        <w:ind w:firstLine="480" w:firstLineChars="200"/>
        <w:textAlignment w:val="auto"/>
        <w:rPr>
          <w:rFonts w:ascii="Times New Roman" w:hAnsi="Times New Roman"/>
          <w:kern w:val="0"/>
          <w:sz w:val="24"/>
          <w:lang w:val="de-DE"/>
        </w:rPr>
      </w:pPr>
      <w:r>
        <w:rPr>
          <w:rFonts w:ascii="Times New Roman" w:hAnsi="Times New Roman"/>
          <w:kern w:val="0"/>
          <w:sz w:val="24"/>
          <w:lang w:val="de-DE"/>
        </w:rPr>
        <w:t>10.</w:t>
      </w:r>
      <w:r>
        <w:rPr>
          <w:rFonts w:hint="eastAsia" w:ascii="Times New Roman" w:hAnsi="Times New Roman"/>
          <w:kern w:val="0"/>
          <w:sz w:val="24"/>
          <w:lang w:val="de-DE"/>
        </w:rPr>
        <w:t>1本技术协议书作为定货合同的技术附件，也是验收设备质量的技术依据。技术规格书中未尽内容甲方和乙方协商解决。</w:t>
      </w:r>
    </w:p>
    <w:p w14:paraId="7D35BC6D">
      <w:pPr>
        <w:keepNext w:val="0"/>
        <w:keepLines w:val="0"/>
        <w:pageBreakBefore w:val="0"/>
        <w:kinsoku/>
        <w:wordWrap/>
        <w:overflowPunct/>
        <w:topLinePunct w:val="0"/>
        <w:autoSpaceDE/>
        <w:autoSpaceDN/>
        <w:bidi w:val="0"/>
        <w:adjustRightInd/>
        <w:snapToGrid/>
        <w:spacing w:after="0" w:line="420" w:lineRule="exact"/>
        <w:ind w:firstLine="480" w:firstLineChars="200"/>
        <w:textAlignment w:val="auto"/>
        <w:rPr>
          <w:rFonts w:ascii="Times New Roman" w:hAnsi="Times New Roman"/>
          <w:kern w:val="0"/>
          <w:sz w:val="24"/>
          <w:lang w:val="de-DE"/>
        </w:rPr>
      </w:pPr>
      <w:r>
        <w:rPr>
          <w:rFonts w:ascii="Times New Roman" w:hAnsi="Times New Roman"/>
          <w:kern w:val="0"/>
          <w:sz w:val="24"/>
          <w:lang w:val="de-DE"/>
        </w:rPr>
        <w:t xml:space="preserve">10.2 </w:t>
      </w:r>
      <w:r>
        <w:rPr>
          <w:rFonts w:hint="eastAsia" w:ascii="Times New Roman" w:hAnsi="Times New Roman"/>
          <w:kern w:val="0"/>
          <w:sz w:val="24"/>
          <w:lang w:val="de-DE"/>
        </w:rPr>
        <w:t>.本技术规格书一式5份，甲方执4份，乙方执1份。</w:t>
      </w:r>
    </w:p>
    <w:p w14:paraId="1E76FA9A">
      <w:pPr>
        <w:pStyle w:val="17"/>
        <w:tabs>
          <w:tab w:val="left" w:pos="1531"/>
        </w:tabs>
        <w:spacing w:before="1"/>
        <w:ind w:right="1163" w:rightChars="554"/>
        <w:rPr>
          <w:rFonts w:ascii="Times New Roman" w:hAnsi="Times New Roman"/>
          <w:kern w:val="0"/>
          <w:sz w:val="24"/>
        </w:rPr>
      </w:pPr>
    </w:p>
    <w:sectPr>
      <w:headerReference r:id="rId5" w:type="default"/>
      <w:footerReference r:id="rId6" w:type="default"/>
      <w:pgSz w:w="11906" w:h="16838"/>
      <w:pgMar w:top="1134" w:right="1134" w:bottom="1134" w:left="1134"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方正仿宋_GB18030">
    <w:panose1 w:val="02000000000000000000"/>
    <w:charset w:val="86"/>
    <w:family w:val="auto"/>
    <w:pitch w:val="default"/>
    <w:sig w:usb0="00000001" w:usb1="08000000" w:usb2="00000000" w:usb3="00000000" w:csb0="00040000" w:csb1="0000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 w:name="WPSEMBED1">
    <w:panose1 w:val="02010609030101010101"/>
    <w:charset w:val="86"/>
    <w:family w:val="auto"/>
    <w:pitch w:val="default"/>
    <w:sig w:usb0="00000001" w:usb1="080E0000" w:usb2="00000000" w:usb3="00000000" w:csb0="00040000" w:csb1="00000000"/>
  </w:font>
  <w:font w:name="WPSEMBED2">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85A9D">
    <w:pPr>
      <w:pStyle w:val="23"/>
    </w:pPr>
    <w:r>
      <mc:AlternateContent>
        <mc:Choice Requires="wps">
          <w:drawing>
            <wp:anchor distT="0" distB="0" distL="114300" distR="114300" simplePos="0" relativeHeight="251660288" behindDoc="0" locked="0" layoutInCell="1" allowOverlap="1">
              <wp:simplePos x="0" y="0"/>
              <wp:positionH relativeFrom="margin">
                <wp:posOffset>2487930</wp:posOffset>
              </wp:positionH>
              <wp:positionV relativeFrom="paragraph">
                <wp:posOffset>240030</wp:posOffset>
              </wp:positionV>
              <wp:extent cx="556260" cy="241300"/>
              <wp:effectExtent l="0" t="0" r="0" b="6350"/>
              <wp:wrapNone/>
              <wp:docPr id="7" name="文本框 7"/>
              <wp:cNvGraphicFramePr/>
              <a:graphic xmlns:a="http://schemas.openxmlformats.org/drawingml/2006/main">
                <a:graphicData uri="http://schemas.microsoft.com/office/word/2010/wordprocessingShape">
                  <wps:wsp>
                    <wps:cNvSpPr txBox="1"/>
                    <wps:spPr>
                      <a:xfrm>
                        <a:off x="0" y="0"/>
                        <a:ext cx="555955" cy="241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86985E">
                          <w:pPr>
                            <w:pStyle w:val="23"/>
                            <w:jc w:val="cente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8</w:t>
                          </w:r>
                          <w:r>
                            <w:rPr>
                              <w:rFonts w:hint="eastAsia"/>
                            </w:rPr>
                            <w:fldChar w:fldCharType="end"/>
                          </w:r>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5.9pt;margin-top:18.9pt;height:19pt;width:43.8pt;mso-position-horizontal-relative:margin;z-index:251660288;mso-width-relative:page;mso-height-relative:page;" filled="f" stroked="f" coordsize="21600,21600" o:gfxdata="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t0ZeD9gAAAAJAQAADwAAAAAAAAABACAAAAAiAAAAZHJzL2Rvd25yZXYueG1s&#10;UEsBAhQAFAAAAAgAh07iQKXnfpQxAgAAVQQAAA4AAAAAAAAAAQAgAAAAJwEAAGRycy9lMm9Eb2Mu&#10;eG1sUEsFBgAAAAAGAAYAWQEAAMoFAAAAAA==&#10;">
              <v:fill on="f" focussize="0,0"/>
              <v:stroke on="f" weight="0.5pt"/>
              <v:imagedata o:title=""/>
              <o:lock v:ext="edit" aspectratio="f"/>
              <v:textbox inset="0mm,0mm,0mm,0mm">
                <w:txbxContent>
                  <w:p w14:paraId="3C86985E">
                    <w:pPr>
                      <w:pStyle w:val="23"/>
                      <w:jc w:val="cente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8</w:t>
                    </w:r>
                    <w:r>
                      <w:rPr>
                        <w:rFonts w:hint="eastAsia"/>
                      </w:rPr>
                      <w:fldChar w:fldCharType="end"/>
                    </w:r>
                    <w:r>
                      <w:rPr>
                        <w:rFonts w:hint="eastAsia"/>
                      </w:rPr>
                      <w:t xml:space="preserve"> 页</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posOffset>5165725</wp:posOffset>
              </wp:positionH>
              <wp:positionV relativeFrom="paragraph">
                <wp:posOffset>139065</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1D947">
                          <w:pPr>
                            <w:pStyle w:val="23"/>
                          </w:pPr>
                          <w:r>
                            <w:rPr>
                              <w:rFonts w:hint="eastAsia"/>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06.75pt;margin-top:10.95pt;height:144pt;width:144pt;mso-position-horizontal-relative:margin;mso-wrap-style:none;z-index:251661312;mso-width-relative:page;mso-height-relative:page;" filled="f" stroked="f" coordsize="21600,21600" o:gfxdata="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31uyJdcAAAALAQAADwAAAAAAAAABACAAAAAiAAAAZHJzL2Rvd25yZXYueG1sUEsBAhQA&#10;FAAAAAgAh07iQK9j2DAsAgAAVQQAAA4AAAAAAAAAAQAgAAAAJgEAAGRycy9lMm9Eb2MueG1sUEsF&#10;BgAAAAAGAAYAWQEAAMQFAAAAAA==&#10;">
              <v:fill on="f" focussize="0,0"/>
              <v:stroke on="f" weight="0.5pt"/>
              <v:imagedata o:title=""/>
              <o:lock v:ext="edit" aspectratio="f"/>
              <v:textbox inset="0mm,0mm,0mm,0mm" style="mso-fit-shape-to-text:t;">
                <w:txbxContent>
                  <w:p w14:paraId="7461D947">
                    <w:pPr>
                      <w:pStyle w:val="23"/>
                    </w:pPr>
                    <w:r>
                      <w:rPr>
                        <w:rFonts w:hint="eastAsia"/>
                      </w:rPr>
                      <w:t xml:space="preserve">  </w:t>
                    </w:r>
                  </w:p>
                </w:txbxContent>
              </v:textbox>
            </v:shape>
          </w:pict>
        </mc:Fallback>
      </mc:AlternateContent>
    </w:r>
  </w:p>
  <w:p w14:paraId="3C46D6D9">
    <w:pPr>
      <w:pStyle w:val="2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8470AA5"/>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A8V5Q0wAgAAYwQAAA4AAAAAAAAAAQAgAAAAHwEAAGRycy9lMm9Eb2MueG1sUEsFBgAA&#10;AAAGAAYAWQEAAMEFAAAAAA==&#10;">
              <v:fill on="f" focussize="0,0"/>
              <v:stroke on="f" weight="0.5pt"/>
              <v:imagedata o:title=""/>
              <o:lock v:ext="edit" aspectratio="f"/>
              <v:textbox inset="0mm,0mm,0mm,0mm" style="mso-fit-shape-to-text:t;">
                <w:txbxContent>
                  <w:p w14:paraId="48470AA5"/>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78EA6">
    <w:pPr>
      <w:ind w:firstLine="1680" w:firstLineChars="800"/>
      <w:jc w:val="left"/>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8729CF"/>
    <w:multiLevelType w:val="multilevel"/>
    <w:tmpl w:val="278729CF"/>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Y4MzkxOTE0MmU3ZWFjMjIxNTg2NzU4ODUwYWUxMmYifQ=="/>
    <w:docVar w:name="KSO_WPS_MARK_KEY" w:val="fbfb0f6e-7434-4030-8e90-1afd564788fd"/>
  </w:docVars>
  <w:rsids>
    <w:rsidRoot w:val="0035646D"/>
    <w:rsid w:val="00000893"/>
    <w:rsid w:val="000023CA"/>
    <w:rsid w:val="000058E4"/>
    <w:rsid w:val="00007A40"/>
    <w:rsid w:val="0002573A"/>
    <w:rsid w:val="00026B2E"/>
    <w:rsid w:val="00033C96"/>
    <w:rsid w:val="00042796"/>
    <w:rsid w:val="000441DC"/>
    <w:rsid w:val="00051F1B"/>
    <w:rsid w:val="0006646F"/>
    <w:rsid w:val="00066638"/>
    <w:rsid w:val="00067354"/>
    <w:rsid w:val="00082D6E"/>
    <w:rsid w:val="000A2531"/>
    <w:rsid w:val="000A5A17"/>
    <w:rsid w:val="000A65F2"/>
    <w:rsid w:val="000B0891"/>
    <w:rsid w:val="000B143A"/>
    <w:rsid w:val="000B77E7"/>
    <w:rsid w:val="000C2814"/>
    <w:rsid w:val="000C524A"/>
    <w:rsid w:val="000C53FA"/>
    <w:rsid w:val="000D3465"/>
    <w:rsid w:val="000D6965"/>
    <w:rsid w:val="000D7264"/>
    <w:rsid w:val="000E5845"/>
    <w:rsid w:val="000E616A"/>
    <w:rsid w:val="000F1074"/>
    <w:rsid w:val="001012DA"/>
    <w:rsid w:val="001071AE"/>
    <w:rsid w:val="00117D61"/>
    <w:rsid w:val="00120612"/>
    <w:rsid w:val="0012720F"/>
    <w:rsid w:val="00127A5C"/>
    <w:rsid w:val="00131817"/>
    <w:rsid w:val="00144674"/>
    <w:rsid w:val="001453D5"/>
    <w:rsid w:val="00156DCD"/>
    <w:rsid w:val="00172189"/>
    <w:rsid w:val="00172309"/>
    <w:rsid w:val="00181F87"/>
    <w:rsid w:val="001848F5"/>
    <w:rsid w:val="00192188"/>
    <w:rsid w:val="00196DF9"/>
    <w:rsid w:val="001A33C9"/>
    <w:rsid w:val="001B572E"/>
    <w:rsid w:val="001C5251"/>
    <w:rsid w:val="001E49AC"/>
    <w:rsid w:val="001E60F1"/>
    <w:rsid w:val="001F5D1E"/>
    <w:rsid w:val="00204077"/>
    <w:rsid w:val="002077FF"/>
    <w:rsid w:val="0021008D"/>
    <w:rsid w:val="002144CA"/>
    <w:rsid w:val="00225792"/>
    <w:rsid w:val="0023025E"/>
    <w:rsid w:val="00232BFE"/>
    <w:rsid w:val="00234B88"/>
    <w:rsid w:val="00254DEC"/>
    <w:rsid w:val="00270F4F"/>
    <w:rsid w:val="00273A8C"/>
    <w:rsid w:val="002764C1"/>
    <w:rsid w:val="002852BB"/>
    <w:rsid w:val="0028543D"/>
    <w:rsid w:val="00286211"/>
    <w:rsid w:val="002975FC"/>
    <w:rsid w:val="002A24AE"/>
    <w:rsid w:val="002C11F9"/>
    <w:rsid w:val="002C5646"/>
    <w:rsid w:val="002C5A71"/>
    <w:rsid w:val="002D061D"/>
    <w:rsid w:val="002D71B0"/>
    <w:rsid w:val="002D7205"/>
    <w:rsid w:val="002E268F"/>
    <w:rsid w:val="002E4E8E"/>
    <w:rsid w:val="002F0931"/>
    <w:rsid w:val="002F528A"/>
    <w:rsid w:val="002F7CD0"/>
    <w:rsid w:val="0030105E"/>
    <w:rsid w:val="00314547"/>
    <w:rsid w:val="00334407"/>
    <w:rsid w:val="003443D4"/>
    <w:rsid w:val="00346227"/>
    <w:rsid w:val="00352448"/>
    <w:rsid w:val="0035646D"/>
    <w:rsid w:val="0036753D"/>
    <w:rsid w:val="00386CAC"/>
    <w:rsid w:val="0039037B"/>
    <w:rsid w:val="003905DC"/>
    <w:rsid w:val="00392018"/>
    <w:rsid w:val="00394E08"/>
    <w:rsid w:val="003A04FA"/>
    <w:rsid w:val="003A42F4"/>
    <w:rsid w:val="003B28B6"/>
    <w:rsid w:val="003B5145"/>
    <w:rsid w:val="003C4BD3"/>
    <w:rsid w:val="003C585C"/>
    <w:rsid w:val="003D0D08"/>
    <w:rsid w:val="003E1B0E"/>
    <w:rsid w:val="003F0D65"/>
    <w:rsid w:val="003F12F7"/>
    <w:rsid w:val="00414E6D"/>
    <w:rsid w:val="004235FD"/>
    <w:rsid w:val="00427CFD"/>
    <w:rsid w:val="00433527"/>
    <w:rsid w:val="004351AA"/>
    <w:rsid w:val="00435A89"/>
    <w:rsid w:val="004377FE"/>
    <w:rsid w:val="00440BE7"/>
    <w:rsid w:val="004615D4"/>
    <w:rsid w:val="00486BE7"/>
    <w:rsid w:val="004A6A17"/>
    <w:rsid w:val="004B0FAC"/>
    <w:rsid w:val="004C1E93"/>
    <w:rsid w:val="004D22A0"/>
    <w:rsid w:val="004E3719"/>
    <w:rsid w:val="00510047"/>
    <w:rsid w:val="00511779"/>
    <w:rsid w:val="00540B45"/>
    <w:rsid w:val="00543021"/>
    <w:rsid w:val="00547602"/>
    <w:rsid w:val="00551C07"/>
    <w:rsid w:val="00552520"/>
    <w:rsid w:val="005554BC"/>
    <w:rsid w:val="00557FC9"/>
    <w:rsid w:val="005667D6"/>
    <w:rsid w:val="00567FF7"/>
    <w:rsid w:val="00571160"/>
    <w:rsid w:val="0058333E"/>
    <w:rsid w:val="00591B85"/>
    <w:rsid w:val="00591F21"/>
    <w:rsid w:val="00595043"/>
    <w:rsid w:val="005A110E"/>
    <w:rsid w:val="005A1992"/>
    <w:rsid w:val="005A36A2"/>
    <w:rsid w:val="005A5404"/>
    <w:rsid w:val="005B2A8C"/>
    <w:rsid w:val="005B6915"/>
    <w:rsid w:val="005C21B8"/>
    <w:rsid w:val="005C4D8F"/>
    <w:rsid w:val="005D0F03"/>
    <w:rsid w:val="005D18E3"/>
    <w:rsid w:val="005D1AB5"/>
    <w:rsid w:val="005E38D0"/>
    <w:rsid w:val="005E42B3"/>
    <w:rsid w:val="005F0A7F"/>
    <w:rsid w:val="005F6DC1"/>
    <w:rsid w:val="0061083E"/>
    <w:rsid w:val="00610F8C"/>
    <w:rsid w:val="0061650F"/>
    <w:rsid w:val="00617C37"/>
    <w:rsid w:val="00617D10"/>
    <w:rsid w:val="006372E7"/>
    <w:rsid w:val="0064187D"/>
    <w:rsid w:val="0064297A"/>
    <w:rsid w:val="006536C5"/>
    <w:rsid w:val="00661C33"/>
    <w:rsid w:val="00667B9B"/>
    <w:rsid w:val="006B1064"/>
    <w:rsid w:val="006B2586"/>
    <w:rsid w:val="006C1830"/>
    <w:rsid w:val="006D42E3"/>
    <w:rsid w:val="006F1210"/>
    <w:rsid w:val="006F4072"/>
    <w:rsid w:val="006F4DEA"/>
    <w:rsid w:val="00702FA1"/>
    <w:rsid w:val="00711194"/>
    <w:rsid w:val="007144F9"/>
    <w:rsid w:val="0072054D"/>
    <w:rsid w:val="00727935"/>
    <w:rsid w:val="00735134"/>
    <w:rsid w:val="007374B6"/>
    <w:rsid w:val="00753882"/>
    <w:rsid w:val="00756981"/>
    <w:rsid w:val="00760C8A"/>
    <w:rsid w:val="00765E9E"/>
    <w:rsid w:val="00775159"/>
    <w:rsid w:val="0077638D"/>
    <w:rsid w:val="00777C93"/>
    <w:rsid w:val="007913F7"/>
    <w:rsid w:val="007A1A4E"/>
    <w:rsid w:val="007A28F1"/>
    <w:rsid w:val="007A55D7"/>
    <w:rsid w:val="007A6887"/>
    <w:rsid w:val="007B0DF4"/>
    <w:rsid w:val="007B0F64"/>
    <w:rsid w:val="007B2BA6"/>
    <w:rsid w:val="007C22FC"/>
    <w:rsid w:val="007C776A"/>
    <w:rsid w:val="007D52AB"/>
    <w:rsid w:val="007E4C14"/>
    <w:rsid w:val="007E7B5B"/>
    <w:rsid w:val="007E7C6B"/>
    <w:rsid w:val="007F0714"/>
    <w:rsid w:val="00800EE0"/>
    <w:rsid w:val="00803601"/>
    <w:rsid w:val="00803B9F"/>
    <w:rsid w:val="00807FB3"/>
    <w:rsid w:val="00812D21"/>
    <w:rsid w:val="00812DE9"/>
    <w:rsid w:val="00825378"/>
    <w:rsid w:val="00827345"/>
    <w:rsid w:val="00842787"/>
    <w:rsid w:val="0084799C"/>
    <w:rsid w:val="0085405F"/>
    <w:rsid w:val="00887DA0"/>
    <w:rsid w:val="008A1B0E"/>
    <w:rsid w:val="008A2797"/>
    <w:rsid w:val="008A6E9A"/>
    <w:rsid w:val="008B0E6E"/>
    <w:rsid w:val="008B1170"/>
    <w:rsid w:val="008B60C1"/>
    <w:rsid w:val="008C60F9"/>
    <w:rsid w:val="008F153E"/>
    <w:rsid w:val="008F3174"/>
    <w:rsid w:val="008F3E3B"/>
    <w:rsid w:val="0090070F"/>
    <w:rsid w:val="0090655B"/>
    <w:rsid w:val="00915DD3"/>
    <w:rsid w:val="00920302"/>
    <w:rsid w:val="009465B6"/>
    <w:rsid w:val="00952448"/>
    <w:rsid w:val="00956DDC"/>
    <w:rsid w:val="00961600"/>
    <w:rsid w:val="009738CF"/>
    <w:rsid w:val="009848EB"/>
    <w:rsid w:val="009D061D"/>
    <w:rsid w:val="009D3623"/>
    <w:rsid w:val="009E420C"/>
    <w:rsid w:val="009E4B95"/>
    <w:rsid w:val="009F50C2"/>
    <w:rsid w:val="009F79D6"/>
    <w:rsid w:val="00A0493B"/>
    <w:rsid w:val="00A10359"/>
    <w:rsid w:val="00A150C9"/>
    <w:rsid w:val="00A200FF"/>
    <w:rsid w:val="00A275BD"/>
    <w:rsid w:val="00A349F2"/>
    <w:rsid w:val="00A36A16"/>
    <w:rsid w:val="00A37179"/>
    <w:rsid w:val="00A449B5"/>
    <w:rsid w:val="00A44C2F"/>
    <w:rsid w:val="00A47CCE"/>
    <w:rsid w:val="00A525E3"/>
    <w:rsid w:val="00A54F4D"/>
    <w:rsid w:val="00A55691"/>
    <w:rsid w:val="00A62646"/>
    <w:rsid w:val="00A62986"/>
    <w:rsid w:val="00A772D5"/>
    <w:rsid w:val="00A8414B"/>
    <w:rsid w:val="00A87C91"/>
    <w:rsid w:val="00A96DD6"/>
    <w:rsid w:val="00AA4D40"/>
    <w:rsid w:val="00AA4D41"/>
    <w:rsid w:val="00AA5D40"/>
    <w:rsid w:val="00AA6356"/>
    <w:rsid w:val="00AD5E5D"/>
    <w:rsid w:val="00AD7183"/>
    <w:rsid w:val="00AE4561"/>
    <w:rsid w:val="00AE507B"/>
    <w:rsid w:val="00AF49C8"/>
    <w:rsid w:val="00B05060"/>
    <w:rsid w:val="00B12928"/>
    <w:rsid w:val="00B148BC"/>
    <w:rsid w:val="00B25553"/>
    <w:rsid w:val="00B26757"/>
    <w:rsid w:val="00B35448"/>
    <w:rsid w:val="00B36D63"/>
    <w:rsid w:val="00B4490D"/>
    <w:rsid w:val="00B47B63"/>
    <w:rsid w:val="00B52B5D"/>
    <w:rsid w:val="00B559C6"/>
    <w:rsid w:val="00B640DD"/>
    <w:rsid w:val="00B70919"/>
    <w:rsid w:val="00B71D44"/>
    <w:rsid w:val="00B76823"/>
    <w:rsid w:val="00B814B9"/>
    <w:rsid w:val="00B9061F"/>
    <w:rsid w:val="00B90EEB"/>
    <w:rsid w:val="00B91D92"/>
    <w:rsid w:val="00B94A23"/>
    <w:rsid w:val="00BA1FB7"/>
    <w:rsid w:val="00BA7F8F"/>
    <w:rsid w:val="00BB1955"/>
    <w:rsid w:val="00BB5025"/>
    <w:rsid w:val="00BC2F49"/>
    <w:rsid w:val="00BC4C3B"/>
    <w:rsid w:val="00BD389B"/>
    <w:rsid w:val="00BD6EF0"/>
    <w:rsid w:val="00BE6191"/>
    <w:rsid w:val="00C10AA7"/>
    <w:rsid w:val="00C12DE3"/>
    <w:rsid w:val="00C12EC4"/>
    <w:rsid w:val="00C259F6"/>
    <w:rsid w:val="00C26C88"/>
    <w:rsid w:val="00C42CCD"/>
    <w:rsid w:val="00C52169"/>
    <w:rsid w:val="00C5620E"/>
    <w:rsid w:val="00C63339"/>
    <w:rsid w:val="00C63425"/>
    <w:rsid w:val="00C86E63"/>
    <w:rsid w:val="00CA4262"/>
    <w:rsid w:val="00CB127B"/>
    <w:rsid w:val="00CB215C"/>
    <w:rsid w:val="00CB42A8"/>
    <w:rsid w:val="00CB7427"/>
    <w:rsid w:val="00CD18E1"/>
    <w:rsid w:val="00CD48B4"/>
    <w:rsid w:val="00CD496B"/>
    <w:rsid w:val="00CE297C"/>
    <w:rsid w:val="00CE3977"/>
    <w:rsid w:val="00CF1146"/>
    <w:rsid w:val="00CF5FDE"/>
    <w:rsid w:val="00D1550F"/>
    <w:rsid w:val="00D16A54"/>
    <w:rsid w:val="00D32713"/>
    <w:rsid w:val="00D36DDA"/>
    <w:rsid w:val="00D63BF0"/>
    <w:rsid w:val="00D65BFC"/>
    <w:rsid w:val="00D76DAD"/>
    <w:rsid w:val="00D8207A"/>
    <w:rsid w:val="00D855D7"/>
    <w:rsid w:val="00D86EF3"/>
    <w:rsid w:val="00D91821"/>
    <w:rsid w:val="00D95095"/>
    <w:rsid w:val="00D95DAC"/>
    <w:rsid w:val="00D96AC7"/>
    <w:rsid w:val="00DC0764"/>
    <w:rsid w:val="00DC10FC"/>
    <w:rsid w:val="00DC2C16"/>
    <w:rsid w:val="00DC4227"/>
    <w:rsid w:val="00DC5CEF"/>
    <w:rsid w:val="00DD61A7"/>
    <w:rsid w:val="00DF3DCA"/>
    <w:rsid w:val="00DF3E49"/>
    <w:rsid w:val="00DF4C48"/>
    <w:rsid w:val="00E01C9E"/>
    <w:rsid w:val="00E10DED"/>
    <w:rsid w:val="00E12C38"/>
    <w:rsid w:val="00E13489"/>
    <w:rsid w:val="00E1639D"/>
    <w:rsid w:val="00E220E3"/>
    <w:rsid w:val="00E2318A"/>
    <w:rsid w:val="00E24D9B"/>
    <w:rsid w:val="00E31F02"/>
    <w:rsid w:val="00E355DC"/>
    <w:rsid w:val="00E557BF"/>
    <w:rsid w:val="00E57D5A"/>
    <w:rsid w:val="00E6034E"/>
    <w:rsid w:val="00E61721"/>
    <w:rsid w:val="00E6268F"/>
    <w:rsid w:val="00E67222"/>
    <w:rsid w:val="00E7318F"/>
    <w:rsid w:val="00E75FA7"/>
    <w:rsid w:val="00E95F42"/>
    <w:rsid w:val="00E96087"/>
    <w:rsid w:val="00EA23B4"/>
    <w:rsid w:val="00EB7CDD"/>
    <w:rsid w:val="00ED040D"/>
    <w:rsid w:val="00ED65DC"/>
    <w:rsid w:val="00EE27DF"/>
    <w:rsid w:val="00EE49B1"/>
    <w:rsid w:val="00EE7247"/>
    <w:rsid w:val="00EF38DA"/>
    <w:rsid w:val="00F04CBF"/>
    <w:rsid w:val="00F12DCA"/>
    <w:rsid w:val="00F202F5"/>
    <w:rsid w:val="00F2321D"/>
    <w:rsid w:val="00F23777"/>
    <w:rsid w:val="00F310E0"/>
    <w:rsid w:val="00F36F63"/>
    <w:rsid w:val="00F41E94"/>
    <w:rsid w:val="00F5026A"/>
    <w:rsid w:val="00F50DD6"/>
    <w:rsid w:val="00F54AD3"/>
    <w:rsid w:val="00F62CFF"/>
    <w:rsid w:val="00F6732C"/>
    <w:rsid w:val="00F67748"/>
    <w:rsid w:val="00F6789F"/>
    <w:rsid w:val="00F731B8"/>
    <w:rsid w:val="00F75B0D"/>
    <w:rsid w:val="00F8533A"/>
    <w:rsid w:val="00F854E2"/>
    <w:rsid w:val="00F946DE"/>
    <w:rsid w:val="00F94904"/>
    <w:rsid w:val="00F967D0"/>
    <w:rsid w:val="00FA331E"/>
    <w:rsid w:val="00FB332B"/>
    <w:rsid w:val="00FB36B3"/>
    <w:rsid w:val="00FB663C"/>
    <w:rsid w:val="00FC6D6B"/>
    <w:rsid w:val="00FD44F4"/>
    <w:rsid w:val="00FE286F"/>
    <w:rsid w:val="00FE50A7"/>
    <w:rsid w:val="00FE6981"/>
    <w:rsid w:val="00FF642F"/>
    <w:rsid w:val="01752811"/>
    <w:rsid w:val="01A90CF8"/>
    <w:rsid w:val="02B404E2"/>
    <w:rsid w:val="030A6CC4"/>
    <w:rsid w:val="04575F38"/>
    <w:rsid w:val="046643CE"/>
    <w:rsid w:val="052D3D68"/>
    <w:rsid w:val="056948E2"/>
    <w:rsid w:val="05BC1DCB"/>
    <w:rsid w:val="05C002AA"/>
    <w:rsid w:val="06656E1D"/>
    <w:rsid w:val="068943A3"/>
    <w:rsid w:val="07885779"/>
    <w:rsid w:val="0879581B"/>
    <w:rsid w:val="089A510F"/>
    <w:rsid w:val="089F6C9C"/>
    <w:rsid w:val="09023F99"/>
    <w:rsid w:val="092633DB"/>
    <w:rsid w:val="09826D3A"/>
    <w:rsid w:val="0B345437"/>
    <w:rsid w:val="0BC743F6"/>
    <w:rsid w:val="0BF62B02"/>
    <w:rsid w:val="0D421B2B"/>
    <w:rsid w:val="0D486A8B"/>
    <w:rsid w:val="0D5E4726"/>
    <w:rsid w:val="0DE41CB3"/>
    <w:rsid w:val="0EDE3942"/>
    <w:rsid w:val="0F040D71"/>
    <w:rsid w:val="0F397201"/>
    <w:rsid w:val="0F3B762B"/>
    <w:rsid w:val="0F7C6A17"/>
    <w:rsid w:val="0FB40E44"/>
    <w:rsid w:val="10545A22"/>
    <w:rsid w:val="10554415"/>
    <w:rsid w:val="113825E1"/>
    <w:rsid w:val="11805BD7"/>
    <w:rsid w:val="118440E5"/>
    <w:rsid w:val="11B30DE9"/>
    <w:rsid w:val="12B502CE"/>
    <w:rsid w:val="130902AA"/>
    <w:rsid w:val="13091F79"/>
    <w:rsid w:val="13095934"/>
    <w:rsid w:val="13BB1914"/>
    <w:rsid w:val="141C6857"/>
    <w:rsid w:val="14702560"/>
    <w:rsid w:val="1517617F"/>
    <w:rsid w:val="153B34B5"/>
    <w:rsid w:val="16117302"/>
    <w:rsid w:val="164D719B"/>
    <w:rsid w:val="16DE2FCD"/>
    <w:rsid w:val="17274DA8"/>
    <w:rsid w:val="17BB31BD"/>
    <w:rsid w:val="18453958"/>
    <w:rsid w:val="18BC0F25"/>
    <w:rsid w:val="18BE612E"/>
    <w:rsid w:val="194B373A"/>
    <w:rsid w:val="19B80CE1"/>
    <w:rsid w:val="19BE235D"/>
    <w:rsid w:val="19D41982"/>
    <w:rsid w:val="1A277D03"/>
    <w:rsid w:val="1AD8757E"/>
    <w:rsid w:val="1BA56D0D"/>
    <w:rsid w:val="1C406E5A"/>
    <w:rsid w:val="1C7256E9"/>
    <w:rsid w:val="1CA0203F"/>
    <w:rsid w:val="1D344C11"/>
    <w:rsid w:val="1DF305C9"/>
    <w:rsid w:val="1E4F5333"/>
    <w:rsid w:val="1E75573F"/>
    <w:rsid w:val="1F034201"/>
    <w:rsid w:val="1F6461F6"/>
    <w:rsid w:val="1FC86523"/>
    <w:rsid w:val="1FCA7364"/>
    <w:rsid w:val="1FF83B20"/>
    <w:rsid w:val="211D59BC"/>
    <w:rsid w:val="212C3E51"/>
    <w:rsid w:val="21983E3E"/>
    <w:rsid w:val="221E1647"/>
    <w:rsid w:val="22887988"/>
    <w:rsid w:val="22A85759"/>
    <w:rsid w:val="22DA5CCE"/>
    <w:rsid w:val="26633E71"/>
    <w:rsid w:val="26C54244"/>
    <w:rsid w:val="26F45E25"/>
    <w:rsid w:val="27220C22"/>
    <w:rsid w:val="275B4AC6"/>
    <w:rsid w:val="27A72D07"/>
    <w:rsid w:val="27E40983"/>
    <w:rsid w:val="28B622BC"/>
    <w:rsid w:val="29F245B6"/>
    <w:rsid w:val="2B1C4609"/>
    <w:rsid w:val="2B597227"/>
    <w:rsid w:val="2BED7D91"/>
    <w:rsid w:val="2C9F5E1F"/>
    <w:rsid w:val="2CAB3B93"/>
    <w:rsid w:val="2DA60AE7"/>
    <w:rsid w:val="2E313023"/>
    <w:rsid w:val="2F261EE0"/>
    <w:rsid w:val="300F6E18"/>
    <w:rsid w:val="30484C03"/>
    <w:rsid w:val="31201A75"/>
    <w:rsid w:val="320966AC"/>
    <w:rsid w:val="322C1459"/>
    <w:rsid w:val="32BD2B5B"/>
    <w:rsid w:val="32D67D8C"/>
    <w:rsid w:val="32DA370D"/>
    <w:rsid w:val="33B51A84"/>
    <w:rsid w:val="34321327"/>
    <w:rsid w:val="343F2FC2"/>
    <w:rsid w:val="34472285"/>
    <w:rsid w:val="34592B8F"/>
    <w:rsid w:val="34B561E0"/>
    <w:rsid w:val="351B61F8"/>
    <w:rsid w:val="358B4967"/>
    <w:rsid w:val="35901FC4"/>
    <w:rsid w:val="35A578BE"/>
    <w:rsid w:val="35FB6A01"/>
    <w:rsid w:val="36156005"/>
    <w:rsid w:val="36D36328"/>
    <w:rsid w:val="37B95FE7"/>
    <w:rsid w:val="37DE3C9F"/>
    <w:rsid w:val="390C37E7"/>
    <w:rsid w:val="3A5B6C3B"/>
    <w:rsid w:val="3C686BF7"/>
    <w:rsid w:val="3CAF3F8C"/>
    <w:rsid w:val="3D682543"/>
    <w:rsid w:val="3E151D9E"/>
    <w:rsid w:val="3E2074A3"/>
    <w:rsid w:val="3E3F2DF6"/>
    <w:rsid w:val="3FAD10DE"/>
    <w:rsid w:val="3FCC08E2"/>
    <w:rsid w:val="402C5ACA"/>
    <w:rsid w:val="40C66D7F"/>
    <w:rsid w:val="4107703E"/>
    <w:rsid w:val="41110C42"/>
    <w:rsid w:val="413A424B"/>
    <w:rsid w:val="415E7BFF"/>
    <w:rsid w:val="41A039FB"/>
    <w:rsid w:val="41EA4FEF"/>
    <w:rsid w:val="43923E3E"/>
    <w:rsid w:val="43C10760"/>
    <w:rsid w:val="442B5B7C"/>
    <w:rsid w:val="44320959"/>
    <w:rsid w:val="443A04B0"/>
    <w:rsid w:val="4520346C"/>
    <w:rsid w:val="4541761C"/>
    <w:rsid w:val="457A7DE7"/>
    <w:rsid w:val="458C717B"/>
    <w:rsid w:val="489D2DBB"/>
    <w:rsid w:val="48CB3DCC"/>
    <w:rsid w:val="4959102F"/>
    <w:rsid w:val="49690EEF"/>
    <w:rsid w:val="497458E7"/>
    <w:rsid w:val="49FE431F"/>
    <w:rsid w:val="4A350206"/>
    <w:rsid w:val="4AB10E90"/>
    <w:rsid w:val="4ADD3943"/>
    <w:rsid w:val="4B245A16"/>
    <w:rsid w:val="4BE156B5"/>
    <w:rsid w:val="4C5405C2"/>
    <w:rsid w:val="4C561BFF"/>
    <w:rsid w:val="4CBE77A4"/>
    <w:rsid w:val="4CCA4A7E"/>
    <w:rsid w:val="4D1C27E1"/>
    <w:rsid w:val="4E130998"/>
    <w:rsid w:val="4E9C4AD0"/>
    <w:rsid w:val="4ED273EA"/>
    <w:rsid w:val="4EF23735"/>
    <w:rsid w:val="4F905428"/>
    <w:rsid w:val="4FE50204"/>
    <w:rsid w:val="501C0AD8"/>
    <w:rsid w:val="50AD025B"/>
    <w:rsid w:val="50C57353"/>
    <w:rsid w:val="513219A9"/>
    <w:rsid w:val="51BA0B89"/>
    <w:rsid w:val="53360094"/>
    <w:rsid w:val="53603363"/>
    <w:rsid w:val="536A5DCD"/>
    <w:rsid w:val="541D74A6"/>
    <w:rsid w:val="54BE6593"/>
    <w:rsid w:val="54C64894"/>
    <w:rsid w:val="54EC75A4"/>
    <w:rsid w:val="5563538C"/>
    <w:rsid w:val="55A3283E"/>
    <w:rsid w:val="55F44953"/>
    <w:rsid w:val="55FD08F1"/>
    <w:rsid w:val="565B6C14"/>
    <w:rsid w:val="56874E26"/>
    <w:rsid w:val="56951575"/>
    <w:rsid w:val="56AC0C6E"/>
    <w:rsid w:val="56B20379"/>
    <w:rsid w:val="56C87388"/>
    <w:rsid w:val="56EA112E"/>
    <w:rsid w:val="56FE35BF"/>
    <w:rsid w:val="57EA7A66"/>
    <w:rsid w:val="5885284A"/>
    <w:rsid w:val="59973856"/>
    <w:rsid w:val="5A2760D1"/>
    <w:rsid w:val="5A955FE8"/>
    <w:rsid w:val="5ABE54B3"/>
    <w:rsid w:val="5AEC374A"/>
    <w:rsid w:val="5B3D3F8A"/>
    <w:rsid w:val="5D870FEF"/>
    <w:rsid w:val="5DC7387E"/>
    <w:rsid w:val="5E2F21EE"/>
    <w:rsid w:val="5E453AAB"/>
    <w:rsid w:val="5E98484D"/>
    <w:rsid w:val="5EB17A5F"/>
    <w:rsid w:val="5F0A5DEA"/>
    <w:rsid w:val="5FA97E40"/>
    <w:rsid w:val="5FE90DC8"/>
    <w:rsid w:val="60AC408B"/>
    <w:rsid w:val="60ED52F6"/>
    <w:rsid w:val="611D4C72"/>
    <w:rsid w:val="615C785F"/>
    <w:rsid w:val="6166423A"/>
    <w:rsid w:val="61811D22"/>
    <w:rsid w:val="61D56AB6"/>
    <w:rsid w:val="62873419"/>
    <w:rsid w:val="630F1249"/>
    <w:rsid w:val="635E0A88"/>
    <w:rsid w:val="6385027D"/>
    <w:rsid w:val="647C16D8"/>
    <w:rsid w:val="65104385"/>
    <w:rsid w:val="65110961"/>
    <w:rsid w:val="659F7D1B"/>
    <w:rsid w:val="65B27E6B"/>
    <w:rsid w:val="66425E0F"/>
    <w:rsid w:val="675B2367"/>
    <w:rsid w:val="69ED3048"/>
    <w:rsid w:val="69F247DC"/>
    <w:rsid w:val="6AE72026"/>
    <w:rsid w:val="6B362ECF"/>
    <w:rsid w:val="6B395740"/>
    <w:rsid w:val="6CE36ED1"/>
    <w:rsid w:val="6CEC04F0"/>
    <w:rsid w:val="6D0D6B9E"/>
    <w:rsid w:val="6D1E3C1B"/>
    <w:rsid w:val="6D3F03FE"/>
    <w:rsid w:val="6D493876"/>
    <w:rsid w:val="6D894A8A"/>
    <w:rsid w:val="6DC01176"/>
    <w:rsid w:val="6EEA46FD"/>
    <w:rsid w:val="6F060E0B"/>
    <w:rsid w:val="6F577A16"/>
    <w:rsid w:val="6F9603E0"/>
    <w:rsid w:val="6FBF6E7D"/>
    <w:rsid w:val="704A2F79"/>
    <w:rsid w:val="715C2893"/>
    <w:rsid w:val="71E73175"/>
    <w:rsid w:val="720D38C1"/>
    <w:rsid w:val="723839D1"/>
    <w:rsid w:val="72772982"/>
    <w:rsid w:val="72EE3AEF"/>
    <w:rsid w:val="7329156C"/>
    <w:rsid w:val="734939BC"/>
    <w:rsid w:val="735A7977"/>
    <w:rsid w:val="736D487B"/>
    <w:rsid w:val="73C6500C"/>
    <w:rsid w:val="73D64502"/>
    <w:rsid w:val="76450785"/>
    <w:rsid w:val="7671125F"/>
    <w:rsid w:val="76957FF0"/>
    <w:rsid w:val="78AE1FE3"/>
    <w:rsid w:val="791117DC"/>
    <w:rsid w:val="7974007F"/>
    <w:rsid w:val="7A57076C"/>
    <w:rsid w:val="7B454A69"/>
    <w:rsid w:val="7C4116D4"/>
    <w:rsid w:val="7C7A6E8F"/>
    <w:rsid w:val="7CC876FF"/>
    <w:rsid w:val="7D0967CC"/>
    <w:rsid w:val="7DA05D3C"/>
    <w:rsid w:val="7EA524BE"/>
    <w:rsid w:val="7EB10D93"/>
    <w:rsid w:val="7F73429A"/>
    <w:rsid w:val="7FD665D7"/>
    <w:rsid w:val="7FF77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宋体" w:cs="Times New Roman"/>
      <w:kern w:val="2"/>
      <w:sz w:val="21"/>
      <w:szCs w:val="24"/>
      <w:lang w:val="en-US" w:eastAsia="zh-CN" w:bidi="ar-SA"/>
    </w:rPr>
  </w:style>
  <w:style w:type="paragraph" w:styleId="2">
    <w:name w:val="heading 1"/>
    <w:basedOn w:val="1"/>
    <w:next w:val="1"/>
    <w:link w:val="40"/>
    <w:qFormat/>
    <w:uiPriority w:val="9"/>
    <w:pPr>
      <w:spacing w:before="100" w:beforeAutospacing="1" w:after="100" w:afterAutospacing="1"/>
      <w:ind w:left="432" w:hanging="432"/>
      <w:jc w:val="left"/>
      <w:outlineLvl w:val="0"/>
    </w:pPr>
    <w:rPr>
      <w:rFonts w:ascii="Times New Roman" w:hAnsi="Times New Roman"/>
      <w:b/>
      <w:kern w:val="44"/>
      <w:sz w:val="30"/>
    </w:rPr>
  </w:style>
  <w:style w:type="paragraph" w:styleId="3">
    <w:name w:val="heading 2"/>
    <w:basedOn w:val="1"/>
    <w:next w:val="1"/>
    <w:link w:val="41"/>
    <w:qFormat/>
    <w:uiPriority w:val="9"/>
    <w:pPr>
      <w:keepNext/>
      <w:keepLines/>
      <w:spacing w:before="260" w:after="260" w:line="416" w:lineRule="auto"/>
      <w:ind w:left="575" w:hanging="575"/>
      <w:outlineLvl w:val="1"/>
    </w:pPr>
    <w:rPr>
      <w:rFonts w:ascii="等线 Light" w:hAnsi="等线 Light"/>
      <w:b/>
      <w:bCs/>
      <w:sz w:val="28"/>
      <w:szCs w:val="32"/>
    </w:rPr>
  </w:style>
  <w:style w:type="paragraph" w:styleId="4">
    <w:name w:val="heading 3"/>
    <w:basedOn w:val="1"/>
    <w:next w:val="1"/>
    <w:link w:val="42"/>
    <w:qFormat/>
    <w:uiPriority w:val="0"/>
    <w:pPr>
      <w:keepNext/>
      <w:keepLines/>
      <w:spacing w:before="260" w:after="260" w:line="416" w:lineRule="auto"/>
      <w:ind w:left="720" w:hanging="720"/>
      <w:outlineLvl w:val="2"/>
    </w:pPr>
    <w:rPr>
      <w:bCs/>
      <w:sz w:val="24"/>
      <w:szCs w:val="32"/>
    </w:rPr>
  </w:style>
  <w:style w:type="paragraph" w:styleId="5">
    <w:name w:val="heading 4"/>
    <w:basedOn w:val="1"/>
    <w:next w:val="1"/>
    <w:qFormat/>
    <w:uiPriority w:val="0"/>
    <w:pPr>
      <w:tabs>
        <w:tab w:val="left" w:pos="0"/>
        <w:tab w:val="left" w:pos="1276"/>
        <w:tab w:val="left" w:pos="2269"/>
      </w:tabs>
      <w:spacing w:line="360" w:lineRule="auto"/>
      <w:jc w:val="left"/>
      <w:outlineLvl w:val="3"/>
    </w:pPr>
    <w:rPr>
      <w:bCs/>
      <w:kern w:val="0"/>
      <w:sz w:val="24"/>
      <w:szCs w:val="28"/>
    </w:rPr>
  </w:style>
  <w:style w:type="paragraph" w:styleId="6">
    <w:name w:val="heading 5"/>
    <w:basedOn w:val="1"/>
    <w:next w:val="1"/>
    <w:qFormat/>
    <w:uiPriority w:val="0"/>
    <w:pPr>
      <w:keepNext/>
      <w:keepLines/>
      <w:spacing w:before="280" w:after="290" w:line="372" w:lineRule="auto"/>
      <w:ind w:left="1008" w:hanging="1008"/>
      <w:outlineLvl w:val="4"/>
    </w:pPr>
    <w:rPr>
      <w:b/>
      <w:sz w:val="28"/>
    </w:rPr>
  </w:style>
  <w:style w:type="paragraph" w:styleId="7">
    <w:name w:val="heading 6"/>
    <w:basedOn w:val="1"/>
    <w:next w:val="1"/>
    <w:qFormat/>
    <w:uiPriority w:val="0"/>
    <w:pPr>
      <w:keepNext/>
      <w:keepLines/>
      <w:spacing w:before="240" w:after="64" w:line="317" w:lineRule="auto"/>
      <w:ind w:left="1151" w:hanging="1151"/>
      <w:outlineLvl w:val="5"/>
    </w:pPr>
    <w:rPr>
      <w:rFonts w:ascii="Arial" w:hAnsi="Arial" w:eastAsia="黑体"/>
      <w:b/>
      <w:sz w:val="24"/>
    </w:rPr>
  </w:style>
  <w:style w:type="paragraph" w:styleId="8">
    <w:name w:val="heading 7"/>
    <w:basedOn w:val="1"/>
    <w:next w:val="1"/>
    <w:qFormat/>
    <w:uiPriority w:val="0"/>
    <w:pPr>
      <w:keepNext/>
      <w:keepLines/>
      <w:spacing w:before="240" w:after="64" w:line="317" w:lineRule="auto"/>
      <w:ind w:left="1296" w:hanging="1296"/>
      <w:outlineLvl w:val="6"/>
    </w:pPr>
    <w:rPr>
      <w:b/>
      <w:sz w:val="24"/>
    </w:rPr>
  </w:style>
  <w:style w:type="paragraph" w:styleId="9">
    <w:name w:val="heading 8"/>
    <w:basedOn w:val="1"/>
    <w:next w:val="1"/>
    <w:qFormat/>
    <w:uiPriority w:val="0"/>
    <w:pPr>
      <w:keepNext/>
      <w:keepLines/>
      <w:spacing w:before="240" w:after="64" w:line="317" w:lineRule="auto"/>
      <w:ind w:left="1440" w:hanging="1440"/>
      <w:outlineLvl w:val="7"/>
    </w:pPr>
    <w:rPr>
      <w:rFonts w:ascii="Arial" w:hAnsi="Arial" w:eastAsia="黑体"/>
      <w:sz w:val="24"/>
    </w:rPr>
  </w:style>
  <w:style w:type="paragraph" w:styleId="10">
    <w:name w:val="heading 9"/>
    <w:basedOn w:val="1"/>
    <w:next w:val="1"/>
    <w:qFormat/>
    <w:uiPriority w:val="0"/>
    <w:pPr>
      <w:keepNext/>
      <w:keepLines/>
      <w:spacing w:before="240" w:after="64" w:line="317" w:lineRule="auto"/>
      <w:ind w:left="1583" w:hanging="1583"/>
      <w:outlineLvl w:val="8"/>
    </w:pPr>
    <w:rPr>
      <w:rFonts w:ascii="Arial" w:hAnsi="Arial" w:eastAsia="黑体"/>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rFonts w:asciiTheme="minorHAnsi" w:hAnsiTheme="minorHAnsi" w:cstheme="minorHAnsi"/>
      <w:sz w:val="18"/>
      <w:szCs w:val="18"/>
    </w:rPr>
  </w:style>
  <w:style w:type="paragraph" w:styleId="12">
    <w:name w:val="Normal Indent"/>
    <w:basedOn w:val="1"/>
    <w:next w:val="13"/>
    <w:qFormat/>
    <w:uiPriority w:val="0"/>
    <w:pPr>
      <w:ind w:firstLine="420"/>
    </w:pPr>
  </w:style>
  <w:style w:type="paragraph" w:styleId="13">
    <w:name w:val="Body Text First Indent 2"/>
    <w:basedOn w:val="14"/>
    <w:next w:val="1"/>
    <w:link w:val="39"/>
    <w:qFormat/>
    <w:uiPriority w:val="0"/>
    <w:pPr>
      <w:ind w:firstLine="420" w:firstLineChars="200"/>
    </w:pPr>
  </w:style>
  <w:style w:type="paragraph" w:styleId="14">
    <w:name w:val="Body Text Indent"/>
    <w:basedOn w:val="1"/>
    <w:link w:val="38"/>
    <w:qFormat/>
    <w:uiPriority w:val="0"/>
    <w:pPr>
      <w:spacing w:after="120"/>
      <w:ind w:left="420" w:leftChars="200"/>
    </w:pPr>
  </w:style>
  <w:style w:type="paragraph" w:styleId="15">
    <w:name w:val="Document Map"/>
    <w:basedOn w:val="1"/>
    <w:link w:val="57"/>
    <w:qFormat/>
    <w:uiPriority w:val="0"/>
    <w:rPr>
      <w:rFonts w:ascii="宋体"/>
      <w:sz w:val="18"/>
      <w:szCs w:val="18"/>
    </w:rPr>
  </w:style>
  <w:style w:type="paragraph" w:styleId="16">
    <w:name w:val="annotation text"/>
    <w:basedOn w:val="1"/>
    <w:link w:val="66"/>
    <w:qFormat/>
    <w:uiPriority w:val="99"/>
    <w:pPr>
      <w:jc w:val="left"/>
    </w:pPr>
  </w:style>
  <w:style w:type="paragraph" w:styleId="17">
    <w:name w:val="Body Text"/>
    <w:basedOn w:val="1"/>
    <w:link w:val="43"/>
    <w:qFormat/>
    <w:uiPriority w:val="0"/>
    <w:pPr>
      <w:spacing w:after="120"/>
    </w:pPr>
  </w:style>
  <w:style w:type="paragraph" w:styleId="18">
    <w:name w:val="toc 5"/>
    <w:basedOn w:val="1"/>
    <w:next w:val="1"/>
    <w:qFormat/>
    <w:uiPriority w:val="0"/>
    <w:pPr>
      <w:ind w:left="840"/>
      <w:jc w:val="left"/>
    </w:pPr>
    <w:rPr>
      <w:rFonts w:asciiTheme="minorHAnsi" w:hAnsiTheme="minorHAnsi" w:cstheme="minorHAnsi"/>
      <w:sz w:val="18"/>
      <w:szCs w:val="18"/>
    </w:rPr>
  </w:style>
  <w:style w:type="paragraph" w:styleId="19">
    <w:name w:val="toc 3"/>
    <w:basedOn w:val="1"/>
    <w:next w:val="1"/>
    <w:qFormat/>
    <w:uiPriority w:val="39"/>
    <w:pPr>
      <w:ind w:left="420"/>
      <w:jc w:val="left"/>
    </w:pPr>
    <w:rPr>
      <w:rFonts w:asciiTheme="minorHAnsi" w:hAnsiTheme="minorHAnsi" w:cstheme="minorHAnsi"/>
      <w:i/>
      <w:iCs/>
      <w:sz w:val="20"/>
      <w:szCs w:val="20"/>
    </w:rPr>
  </w:style>
  <w:style w:type="paragraph" w:styleId="20">
    <w:name w:val="toc 8"/>
    <w:basedOn w:val="1"/>
    <w:next w:val="1"/>
    <w:qFormat/>
    <w:uiPriority w:val="0"/>
    <w:pPr>
      <w:ind w:left="1470"/>
      <w:jc w:val="left"/>
    </w:pPr>
    <w:rPr>
      <w:rFonts w:asciiTheme="minorHAnsi" w:hAnsiTheme="minorHAnsi" w:cstheme="minorHAnsi"/>
      <w:sz w:val="18"/>
      <w:szCs w:val="18"/>
    </w:rPr>
  </w:style>
  <w:style w:type="paragraph" w:styleId="21">
    <w:name w:val="Date"/>
    <w:basedOn w:val="1"/>
    <w:next w:val="1"/>
    <w:link w:val="59"/>
    <w:qFormat/>
    <w:uiPriority w:val="0"/>
    <w:pPr>
      <w:ind w:left="100" w:leftChars="2500"/>
    </w:pPr>
  </w:style>
  <w:style w:type="paragraph" w:styleId="22">
    <w:name w:val="Balloon Text"/>
    <w:basedOn w:val="1"/>
    <w:link w:val="56"/>
    <w:qFormat/>
    <w:uiPriority w:val="0"/>
    <w:rPr>
      <w:sz w:val="18"/>
      <w:szCs w:val="18"/>
    </w:rPr>
  </w:style>
  <w:style w:type="paragraph" w:styleId="23">
    <w:name w:val="footer"/>
    <w:basedOn w:val="1"/>
    <w:qFormat/>
    <w:uiPriority w:val="0"/>
    <w:pPr>
      <w:tabs>
        <w:tab w:val="center" w:pos="4153"/>
        <w:tab w:val="right" w:pos="8306"/>
      </w:tabs>
      <w:snapToGrid w:val="0"/>
      <w:jc w:val="left"/>
    </w:pPr>
    <w:rPr>
      <w:sz w:val="18"/>
    </w:rPr>
  </w:style>
  <w:style w:type="paragraph" w:styleId="2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5">
    <w:name w:val="toc 1"/>
    <w:basedOn w:val="1"/>
    <w:next w:val="1"/>
    <w:qFormat/>
    <w:uiPriority w:val="39"/>
    <w:pPr>
      <w:spacing w:before="120" w:after="120"/>
      <w:jc w:val="left"/>
    </w:pPr>
    <w:rPr>
      <w:rFonts w:asciiTheme="minorHAnsi" w:hAnsiTheme="minorHAnsi" w:cstheme="minorHAnsi"/>
      <w:b/>
      <w:bCs/>
      <w:caps/>
      <w:sz w:val="20"/>
      <w:szCs w:val="20"/>
    </w:rPr>
  </w:style>
  <w:style w:type="paragraph" w:styleId="26">
    <w:name w:val="toc 4"/>
    <w:basedOn w:val="1"/>
    <w:next w:val="1"/>
    <w:qFormat/>
    <w:uiPriority w:val="39"/>
    <w:pPr>
      <w:ind w:left="630"/>
      <w:jc w:val="left"/>
    </w:pPr>
    <w:rPr>
      <w:rFonts w:asciiTheme="minorHAnsi" w:hAnsiTheme="minorHAnsi" w:cstheme="minorHAnsi"/>
      <w:sz w:val="18"/>
      <w:szCs w:val="18"/>
    </w:rPr>
  </w:style>
  <w:style w:type="paragraph" w:styleId="27">
    <w:name w:val="toc 6"/>
    <w:basedOn w:val="1"/>
    <w:next w:val="1"/>
    <w:qFormat/>
    <w:uiPriority w:val="0"/>
    <w:pPr>
      <w:ind w:left="1050"/>
      <w:jc w:val="left"/>
    </w:pPr>
    <w:rPr>
      <w:rFonts w:asciiTheme="minorHAnsi" w:hAnsiTheme="minorHAnsi" w:cstheme="minorHAnsi"/>
      <w:sz w:val="18"/>
      <w:szCs w:val="18"/>
    </w:rPr>
  </w:style>
  <w:style w:type="paragraph" w:styleId="28">
    <w:name w:val="toc 2"/>
    <w:basedOn w:val="1"/>
    <w:next w:val="1"/>
    <w:qFormat/>
    <w:uiPriority w:val="39"/>
    <w:pPr>
      <w:ind w:left="210"/>
      <w:jc w:val="left"/>
    </w:pPr>
    <w:rPr>
      <w:rFonts w:asciiTheme="minorHAnsi" w:hAnsiTheme="minorHAnsi" w:cstheme="minorHAnsi"/>
      <w:smallCaps/>
      <w:sz w:val="20"/>
      <w:szCs w:val="20"/>
    </w:rPr>
  </w:style>
  <w:style w:type="paragraph" w:styleId="29">
    <w:name w:val="toc 9"/>
    <w:basedOn w:val="1"/>
    <w:next w:val="1"/>
    <w:qFormat/>
    <w:uiPriority w:val="0"/>
    <w:pPr>
      <w:ind w:left="1680"/>
      <w:jc w:val="left"/>
    </w:pPr>
    <w:rPr>
      <w:rFonts w:asciiTheme="minorHAnsi" w:hAnsiTheme="minorHAnsi" w:cstheme="minorHAnsi"/>
      <w:sz w:val="18"/>
      <w:szCs w:val="18"/>
    </w:rPr>
  </w:style>
  <w:style w:type="paragraph" w:styleId="30">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1">
    <w:name w:val="Body Text First Indent"/>
    <w:basedOn w:val="1"/>
    <w:link w:val="44"/>
    <w:qFormat/>
    <w:uiPriority w:val="0"/>
    <w:pPr>
      <w:spacing w:after="120" w:line="360" w:lineRule="auto"/>
      <w:ind w:firstLine="420" w:firstLineChars="100"/>
    </w:pPr>
    <w:rPr>
      <w:rFonts w:ascii="宋体" w:hAnsi="宋体"/>
      <w:sz w:val="28"/>
    </w:rPr>
  </w:style>
  <w:style w:type="table" w:styleId="33">
    <w:name w:val="Table Grid"/>
    <w:basedOn w:val="32"/>
    <w:qFormat/>
    <w:uiPriority w:val="3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5">
    <w:name w:val="Strong"/>
    <w:basedOn w:val="34"/>
    <w:qFormat/>
    <w:uiPriority w:val="22"/>
    <w:rPr>
      <w:b/>
    </w:rPr>
  </w:style>
  <w:style w:type="character" w:styleId="36">
    <w:name w:val="FollowedHyperlink"/>
    <w:basedOn w:val="34"/>
    <w:qFormat/>
    <w:uiPriority w:val="0"/>
    <w:rPr>
      <w:color w:val="800080" w:themeColor="followedHyperlink"/>
      <w:u w:val="single"/>
      <w14:textFill>
        <w14:solidFill>
          <w14:schemeClr w14:val="folHlink"/>
        </w14:solidFill>
      </w14:textFill>
    </w:rPr>
  </w:style>
  <w:style w:type="character" w:styleId="37">
    <w:name w:val="Hyperlink"/>
    <w:qFormat/>
    <w:uiPriority w:val="99"/>
    <w:rPr>
      <w:color w:val="0000FF"/>
      <w:u w:val="single"/>
    </w:rPr>
  </w:style>
  <w:style w:type="character" w:customStyle="1" w:styleId="38">
    <w:name w:val="正文文本缩进 Char"/>
    <w:link w:val="14"/>
    <w:qFormat/>
    <w:uiPriority w:val="0"/>
    <w:rPr>
      <w:rFonts w:ascii="Calibri" w:hAnsi="Calibri"/>
      <w:kern w:val="2"/>
      <w:sz w:val="21"/>
      <w:szCs w:val="24"/>
    </w:rPr>
  </w:style>
  <w:style w:type="character" w:customStyle="1" w:styleId="39">
    <w:name w:val="正文首行缩进 2 Char"/>
    <w:basedOn w:val="38"/>
    <w:link w:val="13"/>
    <w:qFormat/>
    <w:uiPriority w:val="0"/>
    <w:rPr>
      <w:rFonts w:ascii="Calibri" w:hAnsi="Calibri"/>
      <w:kern w:val="2"/>
      <w:sz w:val="21"/>
      <w:szCs w:val="24"/>
    </w:rPr>
  </w:style>
  <w:style w:type="character" w:customStyle="1" w:styleId="40">
    <w:name w:val="标题 1 Char"/>
    <w:link w:val="2"/>
    <w:qFormat/>
    <w:uiPriority w:val="9"/>
    <w:rPr>
      <w:b/>
      <w:kern w:val="44"/>
      <w:sz w:val="30"/>
      <w:szCs w:val="24"/>
    </w:rPr>
  </w:style>
  <w:style w:type="character" w:customStyle="1" w:styleId="41">
    <w:name w:val="标题 2 Char"/>
    <w:link w:val="3"/>
    <w:qFormat/>
    <w:uiPriority w:val="9"/>
    <w:rPr>
      <w:rFonts w:ascii="等线 Light" w:hAnsi="等线 Light"/>
      <w:b/>
      <w:bCs/>
      <w:kern w:val="2"/>
      <w:sz w:val="28"/>
      <w:szCs w:val="32"/>
    </w:rPr>
  </w:style>
  <w:style w:type="character" w:customStyle="1" w:styleId="42">
    <w:name w:val="标题 3 Char"/>
    <w:link w:val="4"/>
    <w:qFormat/>
    <w:uiPriority w:val="0"/>
    <w:rPr>
      <w:rFonts w:ascii="Calibri" w:hAnsi="Calibri"/>
      <w:bCs/>
      <w:kern w:val="2"/>
      <w:sz w:val="24"/>
      <w:szCs w:val="32"/>
    </w:rPr>
  </w:style>
  <w:style w:type="character" w:customStyle="1" w:styleId="43">
    <w:name w:val="正文文本 Char"/>
    <w:link w:val="17"/>
    <w:qFormat/>
    <w:uiPriority w:val="1"/>
    <w:rPr>
      <w:rFonts w:ascii="Calibri" w:hAnsi="Calibri"/>
      <w:kern w:val="2"/>
      <w:sz w:val="21"/>
      <w:szCs w:val="24"/>
    </w:rPr>
  </w:style>
  <w:style w:type="character" w:customStyle="1" w:styleId="44">
    <w:name w:val="正文首行缩进 Char"/>
    <w:link w:val="31"/>
    <w:qFormat/>
    <w:uiPriority w:val="0"/>
    <w:rPr>
      <w:rFonts w:ascii="宋体" w:hAnsi="宋体"/>
      <w:kern w:val="2"/>
      <w:sz w:val="28"/>
      <w:szCs w:val="24"/>
    </w:rPr>
  </w:style>
  <w:style w:type="paragraph" w:customStyle="1" w:styleId="45">
    <w:name w:val="模板标题2"/>
    <w:basedOn w:val="1"/>
    <w:next w:val="1"/>
    <w:qFormat/>
    <w:uiPriority w:val="0"/>
    <w:pPr>
      <w:keepNext/>
      <w:keepLines/>
      <w:tabs>
        <w:tab w:val="left" w:pos="0"/>
      </w:tabs>
      <w:spacing w:line="400" w:lineRule="exact"/>
      <w:jc w:val="left"/>
      <w:outlineLvl w:val="1"/>
    </w:pPr>
    <w:rPr>
      <w:rFonts w:ascii="宋体" w:hAnsi="宋体"/>
      <w:b/>
      <w:kern w:val="30"/>
      <w:sz w:val="28"/>
      <w:szCs w:val="28"/>
    </w:rPr>
  </w:style>
  <w:style w:type="paragraph" w:customStyle="1" w:styleId="46">
    <w:name w:val="模板标题1"/>
    <w:basedOn w:val="1"/>
    <w:next w:val="1"/>
    <w:qFormat/>
    <w:uiPriority w:val="0"/>
    <w:pPr>
      <w:keepNext/>
      <w:keepLines/>
      <w:spacing w:line="400" w:lineRule="exact"/>
      <w:jc w:val="left"/>
      <w:outlineLvl w:val="0"/>
    </w:pPr>
    <w:rPr>
      <w:rFonts w:ascii="宋体" w:hAnsi="宋体"/>
      <w:b/>
      <w:kern w:val="32"/>
      <w:sz w:val="28"/>
      <w:szCs w:val="28"/>
    </w:rPr>
  </w:style>
  <w:style w:type="character" w:customStyle="1" w:styleId="47">
    <w:name w:val="font01"/>
    <w:qFormat/>
    <w:uiPriority w:val="0"/>
    <w:rPr>
      <w:rFonts w:ascii="Tahoma" w:hAnsi="Tahoma" w:eastAsia="Tahoma" w:cs="Tahoma"/>
      <w:color w:val="000000"/>
      <w:sz w:val="18"/>
      <w:szCs w:val="18"/>
      <w:u w:val="none"/>
    </w:rPr>
  </w:style>
  <w:style w:type="character" w:customStyle="1" w:styleId="48">
    <w:name w:val="font11"/>
    <w:qFormat/>
    <w:uiPriority w:val="0"/>
    <w:rPr>
      <w:rFonts w:hint="eastAsia" w:ascii="宋体" w:hAnsi="宋体" w:eastAsia="宋体" w:cs="宋体"/>
      <w:color w:val="000000"/>
      <w:sz w:val="18"/>
      <w:szCs w:val="18"/>
      <w:u w:val="none"/>
    </w:rPr>
  </w:style>
  <w:style w:type="paragraph" w:styleId="49">
    <w:name w:val="List Paragraph"/>
    <w:basedOn w:val="1"/>
    <w:link w:val="60"/>
    <w:qFormat/>
    <w:uiPriority w:val="34"/>
    <w:pPr>
      <w:ind w:firstLine="420"/>
    </w:pPr>
  </w:style>
  <w:style w:type="paragraph" w:customStyle="1" w:styleId="50">
    <w:name w:val="模板正文"/>
    <w:basedOn w:val="1"/>
    <w:qFormat/>
    <w:uiPriority w:val="0"/>
    <w:pPr>
      <w:adjustRightInd w:val="0"/>
      <w:spacing w:line="400" w:lineRule="exact"/>
      <w:ind w:firstLine="480" w:firstLineChars="200"/>
      <w:textAlignment w:val="baseline"/>
    </w:pPr>
    <w:rPr>
      <w:color w:val="FF0000"/>
      <w:kern w:val="0"/>
      <w:sz w:val="28"/>
      <w:szCs w:val="28"/>
    </w:rPr>
  </w:style>
  <w:style w:type="character" w:customStyle="1" w:styleId="51">
    <w:name w:val="font132"/>
    <w:basedOn w:val="34"/>
    <w:qFormat/>
    <w:uiPriority w:val="0"/>
    <w:rPr>
      <w:rFonts w:hint="eastAsia" w:ascii="宋体" w:hAnsi="宋体" w:eastAsia="宋体" w:cs="宋体"/>
      <w:color w:val="000000"/>
      <w:sz w:val="20"/>
      <w:szCs w:val="20"/>
      <w:u w:val="none"/>
    </w:rPr>
  </w:style>
  <w:style w:type="character" w:customStyle="1" w:styleId="52">
    <w:name w:val="font101"/>
    <w:basedOn w:val="34"/>
    <w:qFormat/>
    <w:uiPriority w:val="0"/>
    <w:rPr>
      <w:rFonts w:hint="eastAsia" w:ascii="宋体" w:hAnsi="宋体" w:eastAsia="宋体" w:cs="宋体"/>
      <w:color w:val="000000"/>
      <w:sz w:val="20"/>
      <w:szCs w:val="20"/>
      <w:u w:val="none"/>
    </w:rPr>
  </w:style>
  <w:style w:type="paragraph" w:customStyle="1" w:styleId="53">
    <w:name w:val="WPSOffice手动目录 1"/>
    <w:qFormat/>
    <w:uiPriority w:val="0"/>
    <w:pPr>
      <w:spacing w:after="160" w:line="259" w:lineRule="auto"/>
    </w:pPr>
    <w:rPr>
      <w:rFonts w:ascii="Times New Roman" w:hAnsi="Times New Roman" w:eastAsia="宋体" w:cs="Times New Roman"/>
      <w:lang w:val="en-US" w:eastAsia="zh-CN" w:bidi="ar-SA"/>
    </w:rPr>
  </w:style>
  <w:style w:type="paragraph" w:customStyle="1" w:styleId="54">
    <w:name w:val="WPSOffice手动目录 2"/>
    <w:qFormat/>
    <w:uiPriority w:val="0"/>
    <w:pPr>
      <w:spacing w:after="160" w:line="259" w:lineRule="auto"/>
      <w:ind w:left="200" w:leftChars="200"/>
    </w:pPr>
    <w:rPr>
      <w:rFonts w:ascii="Times New Roman" w:hAnsi="Times New Roman" w:eastAsia="宋体" w:cs="Times New Roman"/>
      <w:lang w:val="en-US" w:eastAsia="zh-CN" w:bidi="ar-SA"/>
    </w:rPr>
  </w:style>
  <w:style w:type="paragraph" w:customStyle="1" w:styleId="55">
    <w:name w:val="WPSOffice手动目录 3"/>
    <w:qFormat/>
    <w:uiPriority w:val="0"/>
    <w:pPr>
      <w:spacing w:after="160" w:line="259" w:lineRule="auto"/>
      <w:ind w:left="400" w:leftChars="400"/>
    </w:pPr>
    <w:rPr>
      <w:rFonts w:ascii="Times New Roman" w:hAnsi="Times New Roman" w:eastAsia="宋体" w:cs="Times New Roman"/>
      <w:lang w:val="en-US" w:eastAsia="zh-CN" w:bidi="ar-SA"/>
    </w:rPr>
  </w:style>
  <w:style w:type="character" w:customStyle="1" w:styleId="56">
    <w:name w:val="批注框文本 Char"/>
    <w:basedOn w:val="34"/>
    <w:link w:val="22"/>
    <w:qFormat/>
    <w:uiPriority w:val="0"/>
    <w:rPr>
      <w:rFonts w:ascii="Calibri" w:hAnsi="Calibri"/>
      <w:kern w:val="2"/>
      <w:sz w:val="18"/>
      <w:szCs w:val="18"/>
    </w:rPr>
  </w:style>
  <w:style w:type="character" w:customStyle="1" w:styleId="57">
    <w:name w:val="文档结构图 Char"/>
    <w:basedOn w:val="34"/>
    <w:link w:val="15"/>
    <w:qFormat/>
    <w:uiPriority w:val="0"/>
    <w:rPr>
      <w:rFonts w:ascii="宋体" w:hAnsi="Calibri"/>
      <w:kern w:val="2"/>
      <w:sz w:val="18"/>
      <w:szCs w:val="18"/>
    </w:rPr>
  </w:style>
  <w:style w:type="paragraph" w:customStyle="1" w:styleId="58">
    <w:name w:val="mm"/>
    <w:basedOn w:val="1"/>
    <w:qFormat/>
    <w:uiPriority w:val="0"/>
    <w:pPr>
      <w:adjustRightInd w:val="0"/>
      <w:spacing w:line="360" w:lineRule="atLeast"/>
      <w:ind w:right="1320" w:firstLine="600"/>
      <w:jc w:val="left"/>
      <w:textAlignment w:val="baseline"/>
    </w:pPr>
    <w:rPr>
      <w:rFonts w:ascii="Times New Roman" w:hAnsi="Times New Roman"/>
      <w:kern w:val="0"/>
      <w:sz w:val="24"/>
      <w:szCs w:val="20"/>
    </w:rPr>
  </w:style>
  <w:style w:type="character" w:customStyle="1" w:styleId="59">
    <w:name w:val="日期 Char"/>
    <w:basedOn w:val="34"/>
    <w:link w:val="21"/>
    <w:qFormat/>
    <w:uiPriority w:val="0"/>
    <w:rPr>
      <w:rFonts w:ascii="Calibri" w:hAnsi="Calibri"/>
      <w:kern w:val="2"/>
      <w:sz w:val="21"/>
      <w:szCs w:val="24"/>
    </w:rPr>
  </w:style>
  <w:style w:type="character" w:customStyle="1" w:styleId="60">
    <w:name w:val="列出段落 Char"/>
    <w:link w:val="49"/>
    <w:qFormat/>
    <w:uiPriority w:val="34"/>
    <w:rPr>
      <w:rFonts w:ascii="Calibri" w:hAnsi="Calibri"/>
      <w:kern w:val="2"/>
      <w:sz w:val="21"/>
      <w:szCs w:val="24"/>
    </w:rPr>
  </w:style>
  <w:style w:type="table" w:customStyle="1" w:styleId="61">
    <w:name w:val="Table Normal1"/>
    <w:semiHidden/>
    <w:unhideWhenUsed/>
    <w:qFormat/>
    <w:uiPriority w:val="0"/>
    <w:rPr>
      <w:rFonts w:ascii="Arial" w:hAnsi="Arial" w:cs="Arial" w:eastAsiaTheme="minorEastAsia"/>
      <w:snapToGrid w:val="0"/>
      <w:color w:val="000000"/>
      <w:sz w:val="21"/>
      <w:szCs w:val="21"/>
      <w:lang w:eastAsia="en-US"/>
    </w:rPr>
    <w:tblPr>
      <w:tblCellMar>
        <w:top w:w="0" w:type="dxa"/>
        <w:left w:w="0" w:type="dxa"/>
        <w:bottom w:w="0" w:type="dxa"/>
        <w:right w:w="0" w:type="dxa"/>
      </w:tblCellMar>
    </w:tblPr>
  </w:style>
  <w:style w:type="paragraph" w:customStyle="1" w:styleId="62">
    <w:name w:val="Table Text"/>
    <w:basedOn w:val="1"/>
    <w:semiHidden/>
    <w:qFormat/>
    <w:uiPriority w:val="0"/>
    <w:pPr>
      <w:widowControl/>
      <w:kinsoku w:val="0"/>
      <w:autoSpaceDE w:val="0"/>
      <w:autoSpaceDN w:val="0"/>
      <w:adjustRightInd w:val="0"/>
      <w:snapToGrid w:val="0"/>
      <w:jc w:val="left"/>
      <w:textAlignment w:val="baseline"/>
    </w:pPr>
    <w:rPr>
      <w:rFonts w:ascii="宋体" w:hAnsi="宋体" w:cs="宋体"/>
      <w:snapToGrid w:val="0"/>
      <w:color w:val="000000"/>
      <w:kern w:val="0"/>
      <w:szCs w:val="21"/>
      <w:lang w:eastAsia="en-US"/>
    </w:rPr>
  </w:style>
  <w:style w:type="character" w:customStyle="1" w:styleId="63">
    <w:name w:val="font31"/>
    <w:basedOn w:val="34"/>
    <w:qFormat/>
    <w:uiPriority w:val="0"/>
    <w:rPr>
      <w:rFonts w:hint="eastAsia" w:ascii="微软雅黑" w:hAnsi="微软雅黑" w:eastAsia="微软雅黑" w:cs="微软雅黑"/>
      <w:color w:val="000000"/>
      <w:sz w:val="20"/>
      <w:szCs w:val="20"/>
      <w:u w:val="none"/>
    </w:rPr>
  </w:style>
  <w:style w:type="character" w:customStyle="1" w:styleId="64">
    <w:name w:val="font21"/>
    <w:basedOn w:val="34"/>
    <w:qFormat/>
    <w:uiPriority w:val="0"/>
    <w:rPr>
      <w:rFonts w:hint="eastAsia" w:ascii="微软雅黑" w:hAnsi="微软雅黑" w:eastAsia="微软雅黑" w:cs="微软雅黑"/>
      <w:color w:val="000000"/>
      <w:sz w:val="20"/>
      <w:szCs w:val="20"/>
      <w:u w:val="none"/>
    </w:rPr>
  </w:style>
  <w:style w:type="paragraph" w:customStyle="1" w:styleId="65">
    <w:name w:val="TOC 标题1"/>
    <w:basedOn w:val="2"/>
    <w:next w:val="1"/>
    <w:unhideWhenUsed/>
    <w:qFormat/>
    <w:uiPriority w:val="39"/>
    <w:pPr>
      <w:keepNext/>
      <w:keepLines/>
      <w:widowControl/>
      <w:spacing w:before="240" w:beforeAutospacing="0" w:after="0" w:afterAutospacing="0"/>
      <w:ind w:left="0" w:firstLine="0"/>
      <w:outlineLvl w:val="9"/>
    </w:pPr>
    <w:rPr>
      <w:rFonts w:asciiTheme="majorHAnsi" w:hAnsiTheme="majorHAnsi" w:eastAsiaTheme="majorEastAsia" w:cstheme="majorBidi"/>
      <w:b w:val="0"/>
      <w:color w:val="376092" w:themeColor="accent1" w:themeShade="BF"/>
      <w:kern w:val="0"/>
      <w:sz w:val="32"/>
      <w:szCs w:val="32"/>
    </w:rPr>
  </w:style>
  <w:style w:type="character" w:customStyle="1" w:styleId="66">
    <w:name w:val="批注文字 Char"/>
    <w:link w:val="16"/>
    <w:qFormat/>
    <w:uiPriority w:val="99"/>
    <w:rPr>
      <w:rFonts w:ascii="Calibri" w:hAnsi="Calibri"/>
      <w:kern w:val="2"/>
      <w:sz w:val="21"/>
      <w:szCs w:val="24"/>
    </w:rPr>
  </w:style>
  <w:style w:type="paragraph" w:customStyle="1" w:styleId="67">
    <w:name w:val="列出段落1"/>
    <w:basedOn w:val="1"/>
    <w:qFormat/>
    <w:uiPriority w:val="34"/>
    <w:pPr>
      <w:widowControl/>
      <w:spacing w:after="0" w:line="240" w:lineRule="auto"/>
      <w:ind w:left="720"/>
      <w:contextualSpacing/>
      <w:jc w:val="left"/>
    </w:pPr>
    <w:rPr>
      <w:rFonts w:ascii="Times New Roman" w:hAnsi="Times New Roman"/>
      <w:kern w:val="0"/>
      <w:sz w:val="24"/>
      <w:lang w:val="de-DE" w:eastAsia="de-DE"/>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EF34E4-3C66-4C30-941C-C8F755ED7F2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1171</Words>
  <Characters>1209</Characters>
  <Lines>48</Lines>
  <Paragraphs>13</Paragraphs>
  <TotalTime>83</TotalTime>
  <ScaleCrop>false</ScaleCrop>
  <LinksUpToDate>false</LinksUpToDate>
  <CharactersWithSpaces>1211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2023-10-08T07:36:00Z</dcterms:created>
  <dc:creator>智共荟</dc:creator>
  <cp:lastModifiedBy>闫一</cp:lastModifiedBy>
  <cp:lastPrinted>2023-04-12T08:15:00Z</cp:lastPrinted>
  <dcterms:modified xsi:type="dcterms:W3CDTF">2026-04-30T03:17:13Z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5A91904FB41B4CE4945924222DAFE15F_13</vt:lpwstr>
  </property>
  <property fmtid="{D5CDD505-2E9C-101B-9397-08002B2CF9AE}" pid="4" name="KSOTemplateDocerSaveRecord">
    <vt:lpwstr>eyJoZGlkIjoiOGRiMDllOGVjZThlNjQ3MGYwZGExNDJhYjMyMTFiYWMiLCJ1c2VySWQiOiIyMzMxMDAyNzcifQ==</vt:lpwstr>
  </property>
</Properties>
</file>