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rFonts w:ascii="Times New Roman" w:hAnsi="Times New Roman"/>
          <w:b/>
          <w:sz w:val="24"/>
        </w:rPr>
        <w:t>1. PURPOSE AND SCOPE</w:t>
      </w:r>
    </w:p>
    <w:p>
      <w:pPr>
        <w:spacing w:after="120"/>
      </w:pPr>
      <w:r>
        <w:rPr>
          <w:rFonts w:ascii="Times New Roman" w:hAnsi="Times New Roman"/>
          <w:sz w:val="24"/>
        </w:rPr>
        <w:t>The purpose of this Legal Department Operations Manual (the “Manual”) is to establish a consistent and scalable framework for the management of legal matters across PIR Industrial LLC (the “Company”). This Manual is intended to provide guidance to the Legal Department (the “Department”) personnel on such activities and responsibilities, particularly in cooperation with other internal and external stakeholders, namely, the Company’s ownership, executive leadership, and personnel in other Company departments.</w:t>
      </w:r>
    </w:p>
    <w:p>
      <w:pPr>
        <w:spacing w:after="120"/>
      </w:pPr>
      <w:r>
        <w:rPr>
          <w:rFonts w:ascii="Times New Roman" w:hAnsi="Times New Roman"/>
          <w:sz w:val="24"/>
        </w:rPr>
        <w:t>This Manual will define the Department’s oversight and responsibilities necessary to support informed business decision-making.</w:t>
      </w:r>
    </w:p>
    <w:p>
      <w:pPr>
        <w:spacing w:after="120"/>
      </w:pPr>
      <w:r>
        <w:rPr>
          <w:rFonts w:ascii="Times New Roman" w:hAnsi="Times New Roman"/>
          <w:sz w:val="24"/>
        </w:rPr>
        <w:t>As the Company continues to evolve, implement new technologies, and adjust internal systems and workflows, the Department may update these policies and procedures to ensure continued effectiveness and alignment with organizational objectives.</w:t>
      </w:r>
    </w:p>
    <w:p>
      <w:r>
        <w:br w:type="page"/>
      </w:r>
    </w:p>
    <w:p>
      <w:pPr>
        <w:spacing w:before="480" w:after="240"/>
      </w:pPr>
      <w:r>
        <w:rPr>
          <w:rFonts w:ascii="Times New Roman" w:hAnsi="Times New Roman"/>
          <w:b/>
          <w:sz w:val="24"/>
        </w:rPr>
        <w:t>2. OPERATING PRINCIPLES</w:t>
      </w:r>
    </w:p>
    <w:p>
      <w:pPr>
        <w:spacing w:after="120"/>
      </w:pPr>
      <w:r>
        <w:rPr>
          <w:rFonts w:ascii="Times New Roman" w:hAnsi="Times New Roman"/>
          <w:sz w:val="24"/>
        </w:rPr>
        <w:t>The Department operates in support of the Company’s strategic, operational, and financial objectives. The principles set forth below guide the Department’s approach to delivering legal services, managing risk, and collaborating with stakeholders.</w:t>
      </w:r>
    </w:p>
    <w:p>
      <w:pPr>
        <w:spacing w:after="120"/>
      </w:pPr>
      <w:r>
        <w:rPr>
          <w:rFonts w:ascii="Times New Roman" w:hAnsi="Times New Roman"/>
          <w:sz w:val="24"/>
        </w:rPr>
        <w:t>These principles are intended to ensure that the Department provides timely, practical, and consistent legal support while maintaining disciplined risk management and operational efficiency.</w:t>
      </w:r>
    </w:p>
    <w:p>
      <w:pPr>
        <w:spacing w:before="360" w:after="200"/>
      </w:pPr>
      <w:r>
        <w:rPr>
          <w:rFonts w:ascii="Times New Roman" w:hAnsi="Times New Roman"/>
          <w:b/>
          <w:sz w:val="24"/>
          <w:u w:val="single"/>
        </w:rPr>
        <w:t>Business Alignment</w:t>
      </w:r>
    </w:p>
    <w:p>
      <w:pPr>
        <w:spacing w:after="120"/>
      </w:pPr>
      <w:r>
        <w:rPr>
          <w:rFonts w:ascii="Times New Roman" w:hAnsi="Times New Roman"/>
          <w:sz w:val="24"/>
        </w:rPr>
        <w:t>The Legal Department supports the Company’s business strategy by providing practical legal guidance that facilitates (and does not disrupt or interfere with) operations and transactions, while protecting the Company’s legal and financial interests.</w:t>
      </w:r>
    </w:p>
    <w:p>
      <w:pPr>
        <w:spacing w:after="120"/>
      </w:pPr>
      <w:r>
        <w:rPr>
          <w:rFonts w:ascii="Times New Roman" w:hAnsi="Times New Roman"/>
          <w:sz w:val="24"/>
        </w:rPr>
        <w:t>Legal analysis and recommendations should be grounded in an understanding of the Company’s business priorities, portfolio strategy, and operational realities. The Department strives to balance risk management with the need for efficient execution of business initiatives.</w:t>
      </w:r>
    </w:p>
    <w:p>
      <w:pPr>
        <w:spacing w:before="360" w:after="200"/>
      </w:pPr>
      <w:r>
        <w:rPr>
          <w:rFonts w:ascii="Times New Roman" w:hAnsi="Times New Roman"/>
          <w:b/>
          <w:sz w:val="24"/>
          <w:u w:val="single"/>
        </w:rPr>
        <w:t>Speed with Discipline</w:t>
      </w:r>
    </w:p>
    <w:p>
      <w:pPr>
        <w:spacing w:after="120"/>
      </w:pPr>
      <w:r>
        <w:rPr>
          <w:rFonts w:ascii="Times New Roman" w:hAnsi="Times New Roman"/>
          <w:sz w:val="24"/>
        </w:rPr>
        <w:t>Leasing and operational matters often require prompt legal support in order to maintain transaction momentum and support tenant relationships.</w:t>
      </w:r>
    </w:p>
    <w:p>
      <w:pPr>
        <w:spacing w:after="120"/>
      </w:pPr>
      <w:r>
        <w:rPr>
          <w:rFonts w:ascii="Times New Roman" w:hAnsi="Times New Roman"/>
          <w:sz w:val="24"/>
        </w:rPr>
        <w:t>The Department should deliver timely responses while maintaining appropriate legal review standards, including document accuracy, version control, and internal coordination. Efficient processes and clearly defined workflows help ensure that speed does not compromise quality or risk management.</w:t>
      </w:r>
    </w:p>
    <w:p>
      <w:pPr>
        <w:spacing w:before="360" w:after="200"/>
      </w:pPr>
      <w:r>
        <w:rPr>
          <w:rFonts w:ascii="Times New Roman" w:hAnsi="Times New Roman"/>
          <w:b/>
          <w:sz w:val="24"/>
          <w:u w:val="single"/>
        </w:rPr>
        <w:t>Consistency and Standardization</w:t>
      </w:r>
    </w:p>
    <w:p>
      <w:pPr>
        <w:spacing w:after="120"/>
      </w:pPr>
      <w:r>
        <w:rPr>
          <w:rFonts w:ascii="Times New Roman" w:hAnsi="Times New Roman"/>
          <w:sz w:val="24"/>
        </w:rPr>
        <w:t>Standardized procedures promote efficiency, clarity, and institutional knowledge. Standardization helps ensure that legal work product remains reliable and that internal teams can easily navigate legal workflows.</w:t>
      </w:r>
    </w:p>
    <w:p>
      <w:pPr>
        <w:spacing w:before="360" w:after="200"/>
      </w:pPr>
      <w:r>
        <w:rPr>
          <w:rFonts w:ascii="Times New Roman" w:hAnsi="Times New Roman"/>
          <w:b/>
          <w:sz w:val="24"/>
          <w:u w:val="single"/>
        </w:rPr>
        <w:t>Transparency and Risk Visibility</w:t>
      </w:r>
    </w:p>
    <w:p>
      <w:pPr>
        <w:spacing w:after="120"/>
      </w:pPr>
      <w:r>
        <w:rPr>
          <w:rFonts w:ascii="Times New Roman" w:hAnsi="Times New Roman"/>
          <w:sz w:val="24"/>
        </w:rPr>
        <w:t>The Legal Department maintains structured reporting tools and communication protocols to ensure that material legal matters are visible to leadership.</w:t>
      </w:r>
    </w:p>
    <w:p>
      <w:pPr>
        <w:spacing w:after="120"/>
      </w:pPr>
      <w:r>
        <w:rPr>
          <w:rFonts w:ascii="Times New Roman" w:hAnsi="Times New Roman"/>
          <w:sz w:val="24"/>
        </w:rPr>
        <w:t>Legal risks should be identified early, documented appropriately, and communicated to relevant stakeholders in a timely manner. Clear reporting mechanisms help support informed decision-making by executive leadership and facilitate coordinated responses to legal issues affecting the Company.</w:t>
      </w:r>
    </w:p>
    <w:p>
      <w:pPr>
        <w:spacing w:before="360" w:after="200"/>
      </w:pPr>
      <w:r>
        <w:rPr>
          <w:rFonts w:ascii="Times New Roman" w:hAnsi="Times New Roman"/>
          <w:b/>
          <w:sz w:val="24"/>
          <w:u w:val="single"/>
        </w:rPr>
        <w:t>Centralized Document Management</w:t>
      </w:r>
    </w:p>
    <w:p>
      <w:pPr>
        <w:spacing w:after="120"/>
      </w:pPr>
      <w:r>
        <w:rPr>
          <w:rFonts w:ascii="Times New Roman" w:hAnsi="Times New Roman"/>
          <w:sz w:val="24"/>
        </w:rPr>
        <w:t>All legal documents, including lease drafts, litigation files, governance records, and outside counsel correspondence, must be stored in the Company’s approved document management systems (currently SharePoint for active collaboration and ShareFile for executed documents).</w:t>
      </w:r>
    </w:p>
    <w:p>
      <w:pPr>
        <w:spacing w:after="120"/>
      </w:pPr>
      <w:r>
        <w:rPr>
          <w:rFonts w:ascii="Times New Roman" w:hAnsi="Times New Roman"/>
          <w:sz w:val="24"/>
        </w:rPr>
        <w:t>Centralized document management ensures version control integrity, facilitates institutional knowledge transfer, and supports audit readiness. Documents should not be stored locally or in unapproved platforms. The Department is responsible for maintaining organized folder structures and enforcing naming conventions across all legal workstreams.</w:t>
      </w:r>
    </w:p>
    <w:p>
      <w:pPr>
        <w:spacing w:before="360" w:after="200"/>
      </w:pPr>
      <w:r>
        <w:rPr>
          <w:rFonts w:ascii="Times New Roman" w:hAnsi="Times New Roman"/>
          <w:b/>
          <w:sz w:val="24"/>
          <w:u w:val="single"/>
        </w:rPr>
        <w:t>Effective Collaboration</w:t>
      </w:r>
    </w:p>
    <w:p>
      <w:pPr>
        <w:spacing w:after="120"/>
      </w:pPr>
      <w:r>
        <w:rPr>
          <w:rFonts w:ascii="Times New Roman" w:hAnsi="Times New Roman"/>
          <w:sz w:val="24"/>
        </w:rPr>
        <w:t>The Legal Department works in close coordination with Asset Management, Finance, Property Management, and executive leadership.</w:t>
      </w:r>
    </w:p>
    <w:p>
      <w:pPr>
        <w:spacing w:after="120"/>
      </w:pPr>
      <w:r>
        <w:rPr>
          <w:rFonts w:ascii="Times New Roman" w:hAnsi="Times New Roman"/>
          <w:sz w:val="24"/>
        </w:rPr>
        <w:t>Successful collaboration requires clear communication, shared expectations regarding timelines and responsibilities, and mutual understanding of each department’s role in the Company’s operations.</w:t>
      </w:r>
    </w:p>
    <w:p>
      <w:pPr>
        <w:spacing w:after="120"/>
      </w:pPr>
      <w:r>
        <w:rPr>
          <w:rFonts w:ascii="Times New Roman" w:hAnsi="Times New Roman"/>
          <w:sz w:val="24"/>
        </w:rPr>
        <w:t>Legal supports internal teams by providing guidance, documentation, and risk analysis while respecting the operational ownership of business decisions by the relevant departments.</w:t>
      </w:r>
    </w:p>
    <w:p>
      <w:pPr>
        <w:spacing w:before="360" w:after="200"/>
      </w:pPr>
      <w:r>
        <w:rPr>
          <w:rFonts w:ascii="Times New Roman" w:hAnsi="Times New Roman"/>
          <w:b/>
          <w:sz w:val="24"/>
          <w:u w:val="single"/>
        </w:rPr>
        <w:t>Prudent Use of Outside Counsel</w:t>
      </w:r>
    </w:p>
    <w:p>
      <w:pPr>
        <w:spacing w:after="120"/>
      </w:pPr>
      <w:r>
        <w:rPr>
          <w:rFonts w:ascii="Times New Roman" w:hAnsi="Times New Roman"/>
          <w:sz w:val="24"/>
        </w:rPr>
        <w:t>Outside counsel are engaged to provide specialized expertise, jurisdictional coverage, or additional capacity when required.</w:t>
      </w:r>
    </w:p>
    <w:p>
      <w:pPr>
        <w:spacing w:after="120"/>
      </w:pPr>
      <w:r>
        <w:rPr>
          <w:rFonts w:ascii="Times New Roman" w:hAnsi="Times New Roman"/>
          <w:sz w:val="24"/>
        </w:rPr>
        <w:t>The Department is responsible for selecting and supervising outside counsel, defining engagement scope, monitoring performance, and managing legal spend. Outside counsel should operate as an extension of the Department and adhere to the Company’s expectations regarding efficiency, communication, and billing practices.</w:t>
      </w:r>
    </w:p>
    <w:p>
      <w:pPr>
        <w:spacing w:before="360" w:after="200"/>
      </w:pPr>
      <w:r>
        <w:rPr>
          <w:rFonts w:ascii="Times New Roman" w:hAnsi="Times New Roman"/>
          <w:b/>
          <w:sz w:val="24"/>
          <w:u w:val="single"/>
        </w:rPr>
        <w:t>Continuous Improvement</w:t>
      </w:r>
    </w:p>
    <w:p>
      <w:pPr>
        <w:spacing w:after="120"/>
      </w:pPr>
      <w:r>
        <w:rPr>
          <w:rFonts w:ascii="Times New Roman" w:hAnsi="Times New Roman"/>
          <w:sz w:val="24"/>
        </w:rPr>
        <w:t>The Department seeks to continually improve its processes through the adoption of efficient workflows, technology tools, and standardized practices.</w:t>
      </w:r>
    </w:p>
    <w:p>
      <w:pPr>
        <w:spacing w:after="120"/>
      </w:pPr>
      <w:r>
        <w:rPr>
          <w:rFonts w:ascii="Times New Roman" w:hAnsi="Times New Roman"/>
          <w:sz w:val="24"/>
        </w:rPr>
        <w:t>This includes evaluating technologies that enhance document management, legal reporting, and access to lease and portfolio data, as well as maintaining internal training and knowledge resources that support consistent legal operations.</w:t>
      </w:r>
    </w:p>
    <w:p>
      <w:pPr>
        <w:spacing w:after="120"/>
      </w:pPr>
      <w:r>
        <w:rPr>
          <w:rFonts w:ascii="Times New Roman" w:hAnsi="Times New Roman"/>
          <w:sz w:val="24"/>
        </w:rPr>
        <w:t>Continuous improvement helps ensure that the Department can stay competitive as the Company evolves.</w:t>
      </w:r>
    </w:p>
    <w:p>
      <w:pPr>
        <w:spacing w:before="360" w:after="200"/>
      </w:pPr>
      <w:r>
        <w:rPr>
          <w:rFonts w:ascii="Times New Roman" w:hAnsi="Times New Roman"/>
          <w:b/>
          <w:sz w:val="24"/>
          <w:u w:val="single"/>
        </w:rPr>
        <w:t>Accountability</w:t>
      </w:r>
    </w:p>
    <w:p>
      <w:pPr>
        <w:spacing w:after="120"/>
      </w:pPr>
      <w:r>
        <w:rPr>
          <w:rFonts w:ascii="Times New Roman" w:hAnsi="Times New Roman"/>
          <w:sz w:val="24"/>
        </w:rPr>
        <w:t>Members of the Department are expected to maintain high standards of professional judgment, integrity, and accountability in the performance of their responsibilities.</w:t>
      </w:r>
    </w:p>
    <w:p>
      <w:pPr>
        <w:spacing w:after="120"/>
      </w:pPr>
      <w:r>
        <w:rPr>
          <w:rFonts w:ascii="Times New Roman" w:hAnsi="Times New Roman"/>
          <w:sz w:val="24"/>
        </w:rPr>
        <w:t>Legal professionals must exercise sound judgment, safeguard confidential information, and ensure that the Company’s legal obligations are fulfilled in accordance with applicable laws and internal policies.</w:t>
      </w:r>
    </w:p>
    <w:p>
      <w:r>
        <w:br w:type="page"/>
      </w:r>
    </w:p>
    <w:p>
      <w:pPr>
        <w:spacing w:before="480" w:after="240"/>
      </w:pPr>
      <w:r>
        <w:rPr>
          <w:rFonts w:ascii="Times New Roman" w:hAnsi="Times New Roman"/>
          <w:b/>
          <w:sz w:val="24"/>
        </w:rPr>
        <w:t>3. ROLES AND RESPONSIBILITIES</w:t>
      </w:r>
    </w:p>
    <w:p>
      <w:pPr>
        <w:spacing w:after="120"/>
      </w:pPr>
      <w:r>
        <w:rPr>
          <w:rFonts w:ascii="Times New Roman" w:hAnsi="Times New Roman"/>
          <w:sz w:val="24"/>
        </w:rPr>
        <w:t>The Department is responsible for providing legal guidance, documentation, and risk management oversight in support of the Company’s business operations. The Department plays a central role in supporting the Company’s leasing, operational, and governance activities while ensuring that legal risks are appropriately identified, evaluated, and managed.</w:t>
      </w:r>
    </w:p>
    <w:p>
      <w:pPr>
        <w:spacing w:after="120"/>
      </w:pPr>
      <w:r>
        <w:rPr>
          <w:rFonts w:ascii="Times New Roman" w:hAnsi="Times New Roman"/>
          <w:sz w:val="24"/>
        </w:rPr>
        <w:t>To promote clarity and operational efficiency, the Legal Department’s responsibilities are organized into the categories set forth below. In certain areas, the Department is afforded sole discretion for a given business activity. In other areas, the Department merely provides guidance and support but does not serve as the operational “owner” of the underlying business activity.</w:t>
      </w:r>
    </w:p>
    <w:p>
      <w:pPr>
        <w:spacing w:before="360" w:after="200"/>
      </w:pPr>
      <w:r>
        <w:rPr>
          <w:rFonts w:ascii="Times New Roman" w:hAnsi="Times New Roman"/>
          <w:b/>
          <w:sz w:val="24"/>
          <w:u w:val="single"/>
        </w:rPr>
        <w:t>Matters Owned and Managed by Legal Department</w:t>
      </w:r>
    </w:p>
    <w:p>
      <w:pPr>
        <w:spacing w:after="120"/>
      </w:pPr>
      <w:r>
        <w:rPr>
          <w:rFonts w:ascii="Times New Roman" w:hAnsi="Times New Roman"/>
          <w:b/>
          <w:sz w:val="24"/>
        </w:rPr>
        <w:t>Lease Documentation and Legal Drafting</w:t>
      </w:r>
    </w:p>
    <w:p>
      <w:pPr>
        <w:pStyle w:val="ListBullet"/>
      </w:pPr>
      <w:r>
        <w:rPr>
          <w:rFonts w:ascii="Times New Roman" w:hAnsi="Times New Roman"/>
          <w:sz w:val="24"/>
        </w:rPr>
        <w:t>Drafting and reviewing lease agreements, amendments, and related documentation</w:t>
      </w:r>
    </w:p>
    <w:p>
      <w:pPr>
        <w:pStyle w:val="ListBullet"/>
      </w:pPr>
      <w:r>
        <w:rPr>
          <w:rFonts w:ascii="Times New Roman" w:hAnsi="Times New Roman"/>
          <w:sz w:val="24"/>
        </w:rPr>
        <w:t>Maintaining and updating standard lease forms and provisions</w:t>
      </w:r>
    </w:p>
    <w:p>
      <w:pPr>
        <w:pStyle w:val="ListBullet"/>
      </w:pPr>
      <w:r>
        <w:rPr>
          <w:rFonts w:ascii="Times New Roman" w:hAnsi="Times New Roman"/>
          <w:sz w:val="24"/>
        </w:rPr>
        <w:t>Ensuring that lease documents reflect approved business terms and protect the Company’s legal interests</w:t>
      </w:r>
    </w:p>
    <w:p>
      <w:pPr>
        <w:pStyle w:val="ListBullet"/>
      </w:pPr>
      <w:r>
        <w:rPr>
          <w:rFonts w:ascii="Times New Roman" w:hAnsi="Times New Roman"/>
          <w:sz w:val="24"/>
        </w:rPr>
        <w:t>Managing internal document review and version control processes</w:t>
      </w:r>
    </w:p>
    <w:p>
      <w:pPr>
        <w:spacing w:after="120"/>
      </w:pPr>
      <w:r>
        <w:rPr>
          <w:rFonts w:ascii="Times New Roman" w:hAnsi="Times New Roman"/>
          <w:b/>
          <w:sz w:val="24"/>
        </w:rPr>
        <w:t>Litigation Oversight</w:t>
      </w:r>
    </w:p>
    <w:p>
      <w:pPr>
        <w:pStyle w:val="ListBullet"/>
      </w:pPr>
      <w:r>
        <w:rPr>
          <w:rFonts w:ascii="Times New Roman" w:hAnsi="Times New Roman"/>
          <w:sz w:val="24"/>
        </w:rPr>
        <w:t>Managing litigation involving the Company</w:t>
      </w:r>
    </w:p>
    <w:p>
      <w:pPr>
        <w:pStyle w:val="ListBullet"/>
      </w:pPr>
      <w:r>
        <w:rPr>
          <w:rFonts w:ascii="Times New Roman" w:hAnsi="Times New Roman"/>
          <w:sz w:val="24"/>
        </w:rPr>
        <w:t>Coordinating with and supervising outside counsel</w:t>
      </w:r>
    </w:p>
    <w:p>
      <w:pPr>
        <w:pStyle w:val="ListBullet"/>
      </w:pPr>
      <w:r>
        <w:rPr>
          <w:rFonts w:ascii="Times New Roman" w:hAnsi="Times New Roman"/>
          <w:sz w:val="24"/>
        </w:rPr>
        <w:t>Establishing litigation strategy and settlement posture in consultation with executive leadership</w:t>
      </w:r>
    </w:p>
    <w:p>
      <w:pPr>
        <w:pStyle w:val="ListBullet"/>
      </w:pPr>
      <w:r>
        <w:rPr>
          <w:rFonts w:ascii="Times New Roman" w:hAnsi="Times New Roman"/>
          <w:sz w:val="24"/>
        </w:rPr>
        <w:t>Monitoring litigation budgets and controlling legal spending</w:t>
      </w:r>
    </w:p>
    <w:p>
      <w:pPr>
        <w:spacing w:after="120"/>
      </w:pPr>
      <w:r>
        <w:rPr>
          <w:rFonts w:ascii="Times New Roman" w:hAnsi="Times New Roman"/>
          <w:b/>
          <w:sz w:val="24"/>
        </w:rPr>
        <w:t>Outside Counsel Management</w:t>
      </w:r>
    </w:p>
    <w:p>
      <w:pPr>
        <w:pStyle w:val="ListBullet"/>
      </w:pPr>
      <w:r>
        <w:rPr>
          <w:rFonts w:ascii="Times New Roman" w:hAnsi="Times New Roman"/>
          <w:sz w:val="24"/>
        </w:rPr>
        <w:t>Selecting and maintaining a panel of approved outside counsel</w:t>
      </w:r>
    </w:p>
    <w:p>
      <w:pPr>
        <w:pStyle w:val="ListBullet"/>
      </w:pPr>
      <w:r>
        <w:rPr>
          <w:rFonts w:ascii="Times New Roman" w:hAnsi="Times New Roman"/>
          <w:sz w:val="24"/>
        </w:rPr>
        <w:t>Issuing engagement instructions and defining scope of work</w:t>
      </w:r>
    </w:p>
    <w:p>
      <w:pPr>
        <w:pStyle w:val="ListBullet"/>
      </w:pPr>
      <w:r>
        <w:rPr>
          <w:rFonts w:ascii="Times New Roman" w:hAnsi="Times New Roman"/>
          <w:sz w:val="24"/>
        </w:rPr>
        <w:t>Monitoring performance, staffing, and billing practices</w:t>
      </w:r>
    </w:p>
    <w:p>
      <w:pPr>
        <w:pStyle w:val="ListBullet"/>
      </w:pPr>
      <w:r>
        <w:rPr>
          <w:rFonts w:ascii="Times New Roman" w:hAnsi="Times New Roman"/>
          <w:sz w:val="24"/>
        </w:rPr>
        <w:t>Ensuring adherence to the Company’s billing guidelines and reporting expectations</w:t>
      </w:r>
    </w:p>
    <w:p>
      <w:pPr>
        <w:spacing w:after="120"/>
      </w:pPr>
      <w:r>
        <w:rPr>
          <w:rFonts w:ascii="Times New Roman" w:hAnsi="Times New Roman"/>
          <w:b/>
          <w:sz w:val="24"/>
        </w:rPr>
        <w:t>Legal Risk Management and Reporting</w:t>
      </w:r>
    </w:p>
    <w:p>
      <w:pPr>
        <w:pStyle w:val="ListBullet"/>
      </w:pPr>
      <w:r>
        <w:rPr>
          <w:rFonts w:ascii="Times New Roman" w:hAnsi="Times New Roman"/>
          <w:sz w:val="24"/>
        </w:rPr>
        <w:t>Maintaining the Company’s Legal Risk Tracker</w:t>
      </w:r>
    </w:p>
    <w:p>
      <w:pPr>
        <w:pStyle w:val="ListBullet"/>
      </w:pPr>
      <w:r>
        <w:rPr>
          <w:rFonts w:ascii="Times New Roman" w:hAnsi="Times New Roman"/>
          <w:sz w:val="24"/>
        </w:rPr>
        <w:t>Identifying and evaluating legal risks across the portfolio</w:t>
      </w:r>
    </w:p>
    <w:p>
      <w:pPr>
        <w:pStyle w:val="ListBullet"/>
      </w:pPr>
      <w:r>
        <w:rPr>
          <w:rFonts w:ascii="Times New Roman" w:hAnsi="Times New Roman"/>
          <w:sz w:val="24"/>
        </w:rPr>
        <w:t>Reporting material legal matters to executive leadership</w:t>
      </w:r>
    </w:p>
    <w:p>
      <w:pPr>
        <w:pStyle w:val="ListBullet"/>
      </w:pPr>
      <w:r>
        <w:rPr>
          <w:rFonts w:ascii="Times New Roman" w:hAnsi="Times New Roman"/>
          <w:sz w:val="24"/>
        </w:rPr>
        <w:t>Providing recommendations regarding mitigation strategies</w:t>
      </w:r>
    </w:p>
    <w:p>
      <w:pPr>
        <w:spacing w:after="120"/>
      </w:pPr>
      <w:r>
        <w:rPr>
          <w:rFonts w:ascii="Times New Roman" w:hAnsi="Times New Roman"/>
          <w:b/>
          <w:sz w:val="24"/>
        </w:rPr>
        <w:t>Corporate Governance and Entity Management</w:t>
      </w:r>
    </w:p>
    <w:p>
      <w:pPr>
        <w:pStyle w:val="ListBullet"/>
      </w:pPr>
      <w:r>
        <w:rPr>
          <w:rFonts w:ascii="Times New Roman" w:hAnsi="Times New Roman"/>
          <w:sz w:val="24"/>
        </w:rPr>
        <w:t>Maintaining records for corporate entities</w:t>
      </w:r>
    </w:p>
    <w:p>
      <w:pPr>
        <w:pStyle w:val="ListBullet"/>
      </w:pPr>
      <w:r>
        <w:rPr>
          <w:rFonts w:ascii="Times New Roman" w:hAnsi="Times New Roman"/>
          <w:sz w:val="24"/>
        </w:rPr>
        <w:t>Supporting governance processes for the Company and its subsidiaries</w:t>
      </w:r>
    </w:p>
    <w:p>
      <w:pPr>
        <w:pStyle w:val="ListBullet"/>
      </w:pPr>
      <w:r>
        <w:rPr>
          <w:rFonts w:ascii="Times New Roman" w:hAnsi="Times New Roman"/>
          <w:sz w:val="24"/>
        </w:rPr>
        <w:t>Coordinating entity formation, dissolution, and structural changes</w:t>
      </w:r>
    </w:p>
    <w:p>
      <w:pPr>
        <w:pStyle w:val="ListBullet"/>
      </w:pPr>
      <w:r>
        <w:rPr>
          <w:rFonts w:ascii="Times New Roman" w:hAnsi="Times New Roman"/>
          <w:sz w:val="24"/>
        </w:rPr>
        <w:t>Maintaining organizational charts and ownership records</w:t>
      </w:r>
    </w:p>
    <w:p>
      <w:pPr>
        <w:spacing w:after="120"/>
      </w:pPr>
      <w:r>
        <w:rPr>
          <w:rFonts w:ascii="Times New Roman" w:hAnsi="Times New Roman"/>
          <w:b/>
          <w:sz w:val="24"/>
        </w:rPr>
        <w:t>Policy Development and Legal Compliance</w:t>
      </w:r>
    </w:p>
    <w:p>
      <w:pPr>
        <w:pStyle w:val="ListBullet"/>
      </w:pPr>
      <w:r>
        <w:rPr>
          <w:rFonts w:ascii="Times New Roman" w:hAnsi="Times New Roman"/>
          <w:sz w:val="24"/>
        </w:rPr>
        <w:t>Developing and maintaining internal legal policies and procedures</w:t>
      </w:r>
    </w:p>
    <w:p>
      <w:pPr>
        <w:pStyle w:val="ListBullet"/>
      </w:pPr>
      <w:r>
        <w:rPr>
          <w:rFonts w:ascii="Times New Roman" w:hAnsi="Times New Roman"/>
          <w:sz w:val="24"/>
        </w:rPr>
        <w:t>Monitoring legal and regulatory developments relevant to the Company</w:t>
      </w:r>
    </w:p>
    <w:p>
      <w:pPr>
        <w:pStyle w:val="ListBullet"/>
      </w:pPr>
      <w:r>
        <w:rPr>
          <w:rFonts w:ascii="Times New Roman" w:hAnsi="Times New Roman"/>
          <w:sz w:val="24"/>
        </w:rPr>
        <w:t>Advising internal teams regarding compliance obligations</w:t>
      </w:r>
    </w:p>
    <w:p>
      <w:pPr>
        <w:spacing w:before="360" w:after="200"/>
      </w:pPr>
      <w:r>
        <w:rPr>
          <w:rFonts w:ascii="Times New Roman" w:hAnsi="Times New Roman"/>
          <w:b/>
          <w:sz w:val="24"/>
          <w:u w:val="single"/>
        </w:rPr>
        <w:t>Matters Where the Legal Department Provides Advisory Support or Collaboration</w:t>
      </w:r>
    </w:p>
    <w:p>
      <w:pPr>
        <w:spacing w:after="120"/>
      </w:pPr>
      <w:r>
        <w:rPr>
          <w:rFonts w:ascii="Times New Roman" w:hAnsi="Times New Roman"/>
          <w:b/>
          <w:sz w:val="24"/>
        </w:rPr>
        <w:t>Lease/Document Negotiation for Asset Management Department</w:t>
      </w:r>
    </w:p>
    <w:p>
      <w:pPr>
        <w:pStyle w:val="ListBullet"/>
      </w:pPr>
      <w:r>
        <w:rPr>
          <w:rFonts w:ascii="Times New Roman" w:hAnsi="Times New Roman"/>
          <w:sz w:val="24"/>
        </w:rPr>
        <w:t>Advising on legal implications of proposed business terms</w:t>
      </w:r>
    </w:p>
    <w:p>
      <w:pPr>
        <w:pStyle w:val="ListBullet"/>
      </w:pPr>
      <w:r>
        <w:rPr>
          <w:rFonts w:ascii="Times New Roman" w:hAnsi="Times New Roman"/>
          <w:sz w:val="24"/>
        </w:rPr>
        <w:t>Recommending risk mitigation strategies</w:t>
      </w:r>
    </w:p>
    <w:p>
      <w:pPr>
        <w:pStyle w:val="ListBullet"/>
      </w:pPr>
      <w:r>
        <w:rPr>
          <w:rFonts w:ascii="Times New Roman" w:hAnsi="Times New Roman"/>
          <w:sz w:val="24"/>
        </w:rPr>
        <w:t>Reviewing tenant revisions and proposed lease language</w:t>
      </w:r>
    </w:p>
    <w:p>
      <w:pPr>
        <w:spacing w:after="120"/>
      </w:pPr>
      <w:r>
        <w:rPr>
          <w:rFonts w:ascii="Times New Roman" w:hAnsi="Times New Roman"/>
          <w:b/>
          <w:sz w:val="24"/>
        </w:rPr>
        <w:t>Tenant Defaults and Dispute Resolution for Executive Department</w:t>
      </w:r>
    </w:p>
    <w:p>
      <w:pPr>
        <w:pStyle w:val="ListBullet"/>
      </w:pPr>
      <w:r>
        <w:rPr>
          <w:rFonts w:ascii="Times New Roman" w:hAnsi="Times New Roman"/>
          <w:sz w:val="24"/>
        </w:rPr>
        <w:t>Default notice procedures</w:t>
      </w:r>
    </w:p>
    <w:p>
      <w:pPr>
        <w:pStyle w:val="ListBullet"/>
      </w:pPr>
      <w:r>
        <w:rPr>
          <w:rFonts w:ascii="Times New Roman" w:hAnsi="Times New Roman"/>
          <w:sz w:val="24"/>
        </w:rPr>
        <w:t>Enforcement options</w:t>
      </w:r>
    </w:p>
    <w:p>
      <w:pPr>
        <w:pStyle w:val="ListBullet"/>
      </w:pPr>
      <w:r>
        <w:rPr>
          <w:rFonts w:ascii="Times New Roman" w:hAnsi="Times New Roman"/>
          <w:sz w:val="24"/>
        </w:rPr>
        <w:t>Settlement considerations</w:t>
      </w:r>
    </w:p>
    <w:p>
      <w:pPr>
        <w:pStyle w:val="ListBullet"/>
      </w:pPr>
      <w:r>
        <w:rPr>
          <w:rFonts w:ascii="Times New Roman" w:hAnsi="Times New Roman"/>
          <w:sz w:val="24"/>
        </w:rPr>
        <w:t>Litigation strategies if disputes escalate</w:t>
      </w:r>
    </w:p>
    <w:p>
      <w:pPr>
        <w:spacing w:after="120"/>
      </w:pPr>
      <w:r>
        <w:rPr>
          <w:rFonts w:ascii="Times New Roman" w:hAnsi="Times New Roman"/>
          <w:b/>
          <w:sz w:val="24"/>
        </w:rPr>
        <w:t>Insurance Claims for Asset Management Department</w:t>
      </w:r>
    </w:p>
    <w:p>
      <w:pPr>
        <w:pStyle w:val="ListBullet"/>
      </w:pPr>
      <w:r>
        <w:rPr>
          <w:rFonts w:ascii="Times New Roman" w:hAnsi="Times New Roman"/>
          <w:sz w:val="24"/>
        </w:rPr>
        <w:t>Complex insurance coverage issues</w:t>
      </w:r>
    </w:p>
    <w:p>
      <w:pPr>
        <w:pStyle w:val="ListBullet"/>
      </w:pPr>
      <w:r>
        <w:rPr>
          <w:rFonts w:ascii="Times New Roman" w:hAnsi="Times New Roman"/>
          <w:sz w:val="24"/>
        </w:rPr>
        <w:t>Insurer disputes</w:t>
      </w:r>
    </w:p>
    <w:p>
      <w:pPr>
        <w:pStyle w:val="ListBullet"/>
      </w:pPr>
      <w:r>
        <w:rPr>
          <w:rFonts w:ascii="Times New Roman" w:hAnsi="Times New Roman"/>
          <w:sz w:val="24"/>
        </w:rPr>
        <w:t>Litigation arising from claims</w:t>
      </w:r>
    </w:p>
    <w:p>
      <w:pPr>
        <w:spacing w:after="120"/>
      </w:pPr>
      <w:r>
        <w:rPr>
          <w:rFonts w:ascii="Times New Roman" w:hAnsi="Times New Roman"/>
          <w:b/>
          <w:sz w:val="24"/>
        </w:rPr>
        <w:t>Transactional Matters for Executive, Finance and Acquisitions Departments</w:t>
      </w:r>
    </w:p>
    <w:p>
      <w:pPr>
        <w:pStyle w:val="ListBullet"/>
      </w:pPr>
      <w:r>
        <w:rPr>
          <w:rFonts w:ascii="Times New Roman" w:hAnsi="Times New Roman"/>
          <w:sz w:val="24"/>
        </w:rPr>
        <w:t>Acquisitions and dispositions</w:t>
      </w:r>
    </w:p>
    <w:p>
      <w:pPr>
        <w:pStyle w:val="ListBullet"/>
      </w:pPr>
      <w:r>
        <w:rPr>
          <w:rFonts w:ascii="Times New Roman" w:hAnsi="Times New Roman"/>
          <w:sz w:val="24"/>
        </w:rPr>
        <w:t>Financing</w:t>
      </w:r>
    </w:p>
    <w:p>
      <w:pPr>
        <w:pStyle w:val="ListBullet"/>
      </w:pPr>
      <w:r>
        <w:rPr>
          <w:rFonts w:ascii="Times New Roman" w:hAnsi="Times New Roman"/>
          <w:sz w:val="24"/>
        </w:rPr>
        <w:t>Joint ventures</w:t>
      </w:r>
    </w:p>
    <w:p>
      <w:pPr>
        <w:pStyle w:val="ListBullet"/>
      </w:pPr>
      <w:r>
        <w:rPr>
          <w:rFonts w:ascii="Times New Roman" w:hAnsi="Times New Roman"/>
          <w:sz w:val="24"/>
        </w:rPr>
        <w:t>Material contracts</w:t>
      </w:r>
    </w:p>
    <w:p>
      <w:pPr>
        <w:spacing w:before="360" w:after="200"/>
      </w:pPr>
      <w:r>
        <w:rPr>
          <w:rFonts w:ascii="Times New Roman" w:hAnsi="Times New Roman"/>
          <w:b/>
          <w:sz w:val="24"/>
          <w:u w:val="single"/>
        </w:rPr>
        <w:t>Matters Outside the Operational Responsibility of the Legal Department</w:t>
      </w:r>
    </w:p>
    <w:p>
      <w:pPr>
        <w:pStyle w:val="ListBullet"/>
      </w:pPr>
      <w:r>
        <w:rPr>
          <w:rFonts w:ascii="Times New Roman" w:hAnsi="Times New Roman"/>
          <w:sz w:val="24"/>
        </w:rPr>
        <w:t>Relationship management concerning tenants, vendors, contractors and third-party property management</w:t>
      </w:r>
    </w:p>
    <w:p>
      <w:pPr>
        <w:pStyle w:val="ListBullet"/>
      </w:pPr>
      <w:r>
        <w:rPr>
          <w:rFonts w:ascii="Times New Roman" w:hAnsi="Times New Roman"/>
          <w:sz w:val="24"/>
        </w:rPr>
        <w:t>Rent collection and accounts receivable</w:t>
      </w:r>
    </w:p>
    <w:p>
      <w:pPr>
        <w:pStyle w:val="ListBullet"/>
      </w:pPr>
      <w:r>
        <w:rPr>
          <w:rFonts w:ascii="Times New Roman" w:hAnsi="Times New Roman"/>
          <w:sz w:val="24"/>
        </w:rPr>
        <w:t>Property operations and maintenance</w:t>
      </w:r>
    </w:p>
    <w:p>
      <w:pPr>
        <w:pStyle w:val="ListBullet"/>
      </w:pPr>
      <w:r>
        <w:rPr>
          <w:rFonts w:ascii="Times New Roman" w:hAnsi="Times New Roman"/>
          <w:sz w:val="24"/>
        </w:rPr>
        <w:t>Leasing strategy and market positioning</w:t>
      </w:r>
    </w:p>
    <w:p>
      <w:pPr>
        <w:pStyle w:val="ListBullet"/>
      </w:pPr>
      <w:r>
        <w:rPr>
          <w:rFonts w:ascii="Times New Roman" w:hAnsi="Times New Roman"/>
          <w:sz w:val="24"/>
        </w:rPr>
        <w:t>Asset management decisions regarding tenant concessions or pricing</w:t>
      </w:r>
    </w:p>
    <w:p>
      <w:r>
        <w:br w:type="page"/>
      </w:r>
    </w:p>
    <w:p>
      <w:pPr>
        <w:spacing w:before="480" w:after="240"/>
      </w:pPr>
      <w:r>
        <w:rPr>
          <w:rFonts w:ascii="Times New Roman" w:hAnsi="Times New Roman"/>
          <w:b/>
          <w:sz w:val="24"/>
        </w:rPr>
        <w:t>4. INTAKE &amp; PRIORITIZATION PROCEDURES</w:t>
      </w:r>
    </w:p>
    <w:p>
      <w:pPr>
        <w:spacing w:after="120"/>
      </w:pPr>
      <w:r>
        <w:rPr>
          <w:rFonts w:ascii="Times New Roman" w:hAnsi="Times New Roman"/>
          <w:sz w:val="24"/>
        </w:rPr>
        <w:t>The Department receives requests from multiple internal stakeholders, including Asset Management, Property Management, Finance, and Executive Leadership. To ensure that legal matters are handled efficiently and consistently, all requests for legal services must follow the standardized intake and prioritization procedures outlined in this section.</w:t>
      </w:r>
    </w:p>
    <w:p>
      <w:pPr>
        <w:spacing w:after="120"/>
      </w:pPr>
      <w:r>
        <w:rPr>
          <w:rFonts w:ascii="Times New Roman" w:hAnsi="Times New Roman"/>
          <w:sz w:val="24"/>
        </w:rPr>
        <w:t>The objectives of these procedures are to:</w:t>
      </w:r>
    </w:p>
    <w:p>
      <w:pPr>
        <w:pStyle w:val="ListNumber"/>
      </w:pPr>
      <w:r>
        <w:rPr>
          <w:rFonts w:ascii="Times New Roman" w:hAnsi="Times New Roman"/>
          <w:sz w:val="24"/>
        </w:rPr>
        <w:t>Ensure that legal requests are captured and tracked through a centralized system</w:t>
      </w:r>
    </w:p>
    <w:p>
      <w:pPr>
        <w:pStyle w:val="ListNumber"/>
      </w:pPr>
      <w:r>
        <w:rPr>
          <w:rFonts w:ascii="Times New Roman" w:hAnsi="Times New Roman"/>
          <w:sz w:val="24"/>
        </w:rPr>
        <w:t>Establish clear and objective criteria for prioritizing work</w:t>
      </w:r>
    </w:p>
    <w:p>
      <w:pPr>
        <w:pStyle w:val="ListNumber"/>
      </w:pPr>
      <w:r>
        <w:rPr>
          <w:rFonts w:ascii="Times New Roman" w:hAnsi="Times New Roman"/>
          <w:sz w:val="24"/>
        </w:rPr>
        <w:t>Provide visibility to leadership regarding legal workflow and capacity</w:t>
      </w:r>
    </w:p>
    <w:p>
      <w:pPr>
        <w:pStyle w:val="ListNumber"/>
      </w:pPr>
      <w:r>
        <w:rPr>
          <w:rFonts w:ascii="Times New Roman" w:hAnsi="Times New Roman"/>
          <w:sz w:val="24"/>
        </w:rPr>
        <w:t>Ensure that matters affecting revenue, deadlines, or legal rights receive timely attention</w:t>
      </w:r>
    </w:p>
    <w:p>
      <w:pPr>
        <w:spacing w:before="360" w:after="200"/>
      </w:pPr>
      <w:r>
        <w:rPr>
          <w:rFonts w:ascii="Times New Roman" w:hAnsi="Times New Roman"/>
          <w:b/>
          <w:sz w:val="24"/>
          <w:u w:val="single"/>
        </w:rPr>
        <w:t>Legal Request Intake</w:t>
      </w:r>
    </w:p>
    <w:p>
      <w:pPr>
        <w:spacing w:after="120"/>
      </w:pPr>
      <w:r>
        <w:rPr>
          <w:rFonts w:ascii="Times New Roman" w:hAnsi="Times New Roman"/>
          <w:sz w:val="24"/>
        </w:rPr>
        <w:t>All requests for legal services related to leasing activities must be submitted through the Company’s lease lifecycle management platform (currently Salesforce).</w:t>
      </w:r>
    </w:p>
    <w:p>
      <w:pPr>
        <w:spacing w:after="120"/>
      </w:pPr>
      <w:r>
        <w:rPr>
          <w:rFonts w:ascii="Times New Roman" w:hAnsi="Times New Roman"/>
          <w:sz w:val="24"/>
        </w:rPr>
        <w:t>The system automatically notifies the Legal Department when Asset Management submits a request for:</w:t>
      </w:r>
    </w:p>
    <w:p>
      <w:pPr>
        <w:pStyle w:val="ListBullet"/>
      </w:pPr>
      <w:r>
        <w:rPr>
          <w:rFonts w:ascii="Times New Roman" w:hAnsi="Times New Roman"/>
          <w:sz w:val="24"/>
        </w:rPr>
        <w:t>Drafting a new lease or lease amendment</w:t>
      </w:r>
    </w:p>
    <w:p>
      <w:pPr>
        <w:pStyle w:val="ListBullet"/>
      </w:pPr>
      <w:r>
        <w:rPr>
          <w:rFonts w:ascii="Times New Roman" w:hAnsi="Times New Roman"/>
          <w:sz w:val="24"/>
        </w:rPr>
        <w:t>Reviewing a tenant-proposed lease draft or lease amendment</w:t>
      </w:r>
    </w:p>
    <w:p>
      <w:pPr>
        <w:pStyle w:val="ListBullet"/>
      </w:pPr>
      <w:r>
        <w:rPr>
          <w:rFonts w:ascii="Times New Roman" w:hAnsi="Times New Roman"/>
          <w:sz w:val="24"/>
        </w:rPr>
        <w:t>Drafting notices relating to tenant defaults</w:t>
      </w:r>
    </w:p>
    <w:p>
      <w:pPr>
        <w:pStyle w:val="ListBullet"/>
      </w:pPr>
      <w:r>
        <w:rPr>
          <w:rFonts w:ascii="Times New Roman" w:hAnsi="Times New Roman"/>
          <w:sz w:val="24"/>
        </w:rPr>
        <w:t>Reviewing other property-related legal documents</w:t>
      </w:r>
    </w:p>
    <w:p>
      <w:pPr>
        <w:spacing w:after="120"/>
      </w:pPr>
      <w:r>
        <w:rPr>
          <w:rFonts w:ascii="Times New Roman" w:hAnsi="Times New Roman"/>
          <w:sz w:val="24"/>
        </w:rPr>
        <w:t>Using a centralized intake platform ensures that legal requests are documented, time-stamped, assigned an owner, and tracked through completion.</w:t>
      </w:r>
    </w:p>
    <w:p>
      <w:pPr>
        <w:spacing w:after="120"/>
      </w:pPr>
      <w:r>
        <w:rPr>
          <w:rFonts w:ascii="Times New Roman" w:hAnsi="Times New Roman"/>
          <w:sz w:val="24"/>
        </w:rPr>
        <w:t>Asset Management or other requesting departments will be prompted for the following information when submitting a request:</w:t>
      </w:r>
    </w:p>
    <w:p>
      <w:pPr>
        <w:pStyle w:val="ListBullet"/>
      </w:pPr>
      <w:r>
        <w:rPr>
          <w:rFonts w:ascii="Times New Roman" w:hAnsi="Times New Roman"/>
          <w:sz w:val="24"/>
        </w:rPr>
        <w:t>Property name and address</w:t>
      </w:r>
    </w:p>
    <w:p>
      <w:pPr>
        <w:pStyle w:val="ListBullet"/>
      </w:pPr>
      <w:r>
        <w:rPr>
          <w:rFonts w:ascii="Times New Roman" w:hAnsi="Times New Roman"/>
          <w:sz w:val="24"/>
        </w:rPr>
        <w:t>Tenant name</w:t>
      </w:r>
    </w:p>
    <w:p>
      <w:pPr>
        <w:pStyle w:val="ListBullet"/>
      </w:pPr>
      <w:r>
        <w:rPr>
          <w:rFonts w:ascii="Times New Roman" w:hAnsi="Times New Roman"/>
          <w:sz w:val="24"/>
        </w:rPr>
        <w:t>Type of document requested</w:t>
      </w:r>
    </w:p>
    <w:p>
      <w:pPr>
        <w:pStyle w:val="ListBullet"/>
      </w:pPr>
      <w:r>
        <w:rPr>
          <w:rFonts w:ascii="Times New Roman" w:hAnsi="Times New Roman"/>
          <w:sz w:val="24"/>
        </w:rPr>
        <w:t>First/Tenant-revised draft</w:t>
      </w:r>
    </w:p>
    <w:p>
      <w:pPr>
        <w:pStyle w:val="ListBullet"/>
      </w:pPr>
      <w:r>
        <w:rPr>
          <w:rFonts w:ascii="Times New Roman" w:hAnsi="Times New Roman"/>
          <w:sz w:val="24"/>
        </w:rPr>
        <w:t>Lease/Renewal commencement date (if applicable)</w:t>
      </w:r>
    </w:p>
    <w:p>
      <w:pPr>
        <w:pStyle w:val="ListBullet"/>
      </w:pPr>
      <w:r>
        <w:rPr>
          <w:rFonts w:ascii="Times New Roman" w:hAnsi="Times New Roman"/>
          <w:sz w:val="24"/>
        </w:rPr>
        <w:t>Lease Rent over the Lease Term</w:t>
      </w:r>
    </w:p>
    <w:p>
      <w:pPr>
        <w:spacing w:after="120"/>
      </w:pPr>
      <w:r>
        <w:rPr>
          <w:rFonts w:ascii="Times New Roman" w:hAnsi="Times New Roman"/>
          <w:sz w:val="24"/>
        </w:rPr>
        <w:t>Providing this information enables the Department to properly prioritize and allocate resources.</w:t>
      </w:r>
    </w:p>
    <w:p>
      <w:pPr>
        <w:spacing w:before="360" w:after="200"/>
      </w:pPr>
      <w:r>
        <w:rPr>
          <w:rFonts w:ascii="Times New Roman" w:hAnsi="Times New Roman"/>
          <w:b/>
          <w:sz w:val="24"/>
          <w:u w:val="single"/>
        </w:rPr>
        <w:t>Guidance on Prioritization</w:t>
      </w:r>
    </w:p>
    <w:p>
      <w:pPr>
        <w:spacing w:after="120"/>
      </w:pPr>
      <w:r>
        <w:rPr>
          <w:rFonts w:ascii="Times New Roman" w:hAnsi="Times New Roman"/>
          <w:sz w:val="24"/>
        </w:rPr>
        <w:t>The head of the Asset Management Department, and other authorized persons, will be given ultimate discretion for the priority of lease requests. However, the Company should aim to provide solutions that can automate these decisions based on a formula factoring in the information provided above. Using this information, the following business and operational considerations should be included in the priority analysis:</w:t>
      </w:r>
    </w:p>
    <w:p>
      <w:pPr>
        <w:pStyle w:val="ListBullet"/>
      </w:pPr>
      <w:r>
        <w:rPr>
          <w:rFonts w:ascii="Times New Roman" w:hAnsi="Times New Roman"/>
          <w:sz w:val="24"/>
        </w:rPr>
        <w:t>Requests affecting leases scheduled to commence in the near term</w:t>
      </w:r>
    </w:p>
    <w:p>
      <w:pPr>
        <w:pStyle w:val="ListBullet"/>
      </w:pPr>
      <w:r>
        <w:rPr>
          <w:rFonts w:ascii="Times New Roman" w:hAnsi="Times New Roman"/>
          <w:sz w:val="24"/>
        </w:rPr>
        <w:t>Matters involving significant rent or strategic tenants</w:t>
      </w:r>
    </w:p>
    <w:p>
      <w:pPr>
        <w:pStyle w:val="ListBullet"/>
      </w:pPr>
      <w:r>
        <w:rPr>
          <w:rFonts w:ascii="Times New Roman" w:hAnsi="Times New Roman"/>
          <w:sz w:val="24"/>
        </w:rPr>
        <w:t>Requests involving tenant revisions or active negotiations to maintain deal momentum</w:t>
      </w:r>
    </w:p>
    <w:p>
      <w:pPr>
        <w:pStyle w:val="ListBullet"/>
      </w:pPr>
      <w:r>
        <w:rPr>
          <w:rFonts w:ascii="Times New Roman" w:hAnsi="Times New Roman"/>
          <w:sz w:val="24"/>
        </w:rPr>
        <w:t>Matters involving properties that are difficult to lease or strategically important to the portfolio</w:t>
      </w:r>
    </w:p>
    <w:p>
      <w:pPr>
        <w:pStyle w:val="ListBullet"/>
      </w:pPr>
      <w:r>
        <w:rPr>
          <w:rFonts w:ascii="Times New Roman" w:hAnsi="Times New Roman"/>
          <w:sz w:val="24"/>
        </w:rPr>
        <w:t>Matters involving contractual deadlines, regulatory requirements, or litigation deadlines</w:t>
      </w:r>
    </w:p>
    <w:p>
      <w:pPr>
        <w:spacing w:after="120"/>
      </w:pPr>
      <w:r>
        <w:rPr>
          <w:rFonts w:ascii="Times New Roman" w:hAnsi="Times New Roman"/>
          <w:b/>
          <w:sz w:val="24"/>
        </w:rPr>
        <w:t>High priority matters:</w:t>
      </w:r>
    </w:p>
    <w:p>
      <w:pPr>
        <w:pStyle w:val="ListBullet"/>
      </w:pPr>
      <w:r>
        <w:rPr>
          <w:rFonts w:ascii="Times New Roman" w:hAnsi="Times New Roman"/>
          <w:sz w:val="24"/>
        </w:rPr>
        <w:t>New leases tied to upcoming rent commencement</w:t>
      </w:r>
    </w:p>
    <w:p>
      <w:pPr>
        <w:pStyle w:val="ListBullet"/>
      </w:pPr>
      <w:r>
        <w:rPr>
          <w:rFonts w:ascii="Times New Roman" w:hAnsi="Times New Roman"/>
          <w:sz w:val="24"/>
        </w:rPr>
        <w:t>Tenant revisions requiring timely response</w:t>
      </w:r>
    </w:p>
    <w:p>
      <w:pPr>
        <w:pStyle w:val="ListBullet"/>
      </w:pPr>
      <w:r>
        <w:rPr>
          <w:rFonts w:ascii="Times New Roman" w:hAnsi="Times New Roman"/>
          <w:sz w:val="24"/>
        </w:rPr>
        <w:t>Matters involving significant revenue impact</w:t>
      </w:r>
    </w:p>
    <w:p>
      <w:pPr>
        <w:pStyle w:val="ListBullet"/>
      </w:pPr>
      <w:r>
        <w:rPr>
          <w:rFonts w:ascii="Times New Roman" w:hAnsi="Times New Roman"/>
          <w:sz w:val="24"/>
        </w:rPr>
        <w:t>Issues involving legal deadlines or risk of rights waiver</w:t>
      </w:r>
    </w:p>
    <w:p>
      <w:pPr>
        <w:pStyle w:val="ListBullet"/>
      </w:pPr>
      <w:r>
        <w:rPr>
          <w:rFonts w:ascii="Times New Roman" w:hAnsi="Times New Roman"/>
          <w:sz w:val="24"/>
        </w:rPr>
        <w:t>Matters escalated by Executive Leadership</w:t>
      </w:r>
    </w:p>
    <w:p>
      <w:pPr>
        <w:spacing w:after="120"/>
      </w:pPr>
      <w:r>
        <w:rPr>
          <w:rFonts w:ascii="Times New Roman" w:hAnsi="Times New Roman"/>
          <w:sz w:val="24"/>
        </w:rPr>
        <w:t>These matters should generally receive attention within one to two business days, subject to complexity.</w:t>
      </w:r>
    </w:p>
    <w:p>
      <w:pPr>
        <w:spacing w:after="120"/>
      </w:pPr>
      <w:r>
        <w:rPr>
          <w:rFonts w:ascii="Times New Roman" w:hAnsi="Times New Roman"/>
          <w:b/>
          <w:sz w:val="24"/>
        </w:rPr>
        <w:t>Medium priority matters:</w:t>
      </w:r>
    </w:p>
    <w:p>
      <w:pPr>
        <w:pStyle w:val="ListBullet"/>
      </w:pPr>
      <w:r>
        <w:rPr>
          <w:rFonts w:ascii="Times New Roman" w:hAnsi="Times New Roman"/>
          <w:sz w:val="24"/>
        </w:rPr>
        <w:t>Lease amendments that do not affect immediate rent commencement</w:t>
      </w:r>
    </w:p>
    <w:p>
      <w:pPr>
        <w:pStyle w:val="ListBullet"/>
      </w:pPr>
      <w:r>
        <w:rPr>
          <w:rFonts w:ascii="Times New Roman" w:hAnsi="Times New Roman"/>
          <w:sz w:val="24"/>
        </w:rPr>
        <w:t>Ongoing lease negotiations without immediate deadlines</w:t>
      </w:r>
    </w:p>
    <w:p>
      <w:pPr>
        <w:pStyle w:val="ListBullet"/>
      </w:pPr>
      <w:r>
        <w:rPr>
          <w:rFonts w:ascii="Times New Roman" w:hAnsi="Times New Roman"/>
          <w:sz w:val="24"/>
        </w:rPr>
        <w:t>Routine document review requests (e.g., landlord lien waivers, NDAs, collateral access agreements, SNDAs, estoppel certificates, etc.)</w:t>
      </w:r>
    </w:p>
    <w:p>
      <w:pPr>
        <w:spacing w:after="120"/>
      </w:pPr>
      <w:r>
        <w:rPr>
          <w:rFonts w:ascii="Times New Roman" w:hAnsi="Times New Roman"/>
          <w:sz w:val="24"/>
        </w:rPr>
        <w:t>These matters are addressed in the normal legal workflow queue.</w:t>
      </w:r>
    </w:p>
    <w:p>
      <w:pPr>
        <w:spacing w:after="120"/>
      </w:pPr>
      <w:r>
        <w:rPr>
          <w:rFonts w:ascii="Times New Roman" w:hAnsi="Times New Roman"/>
          <w:b/>
          <w:sz w:val="24"/>
        </w:rPr>
        <w:t>Low priority matters:</w:t>
      </w:r>
    </w:p>
    <w:p>
      <w:pPr>
        <w:pStyle w:val="ListBullet"/>
      </w:pPr>
      <w:r>
        <w:rPr>
          <w:rFonts w:ascii="Times New Roman" w:hAnsi="Times New Roman"/>
          <w:sz w:val="24"/>
        </w:rPr>
        <w:t>Housekeeping amendments</w:t>
      </w:r>
    </w:p>
    <w:p>
      <w:pPr>
        <w:pStyle w:val="ListBullet"/>
      </w:pPr>
      <w:r>
        <w:rPr>
          <w:rFonts w:ascii="Times New Roman" w:hAnsi="Times New Roman"/>
          <w:sz w:val="24"/>
        </w:rPr>
        <w:t>Internal document reviews</w:t>
      </w:r>
    </w:p>
    <w:p>
      <w:pPr>
        <w:pStyle w:val="ListBullet"/>
      </w:pPr>
      <w:r>
        <w:rPr>
          <w:rFonts w:ascii="Times New Roman" w:hAnsi="Times New Roman"/>
          <w:sz w:val="24"/>
        </w:rPr>
        <w:t>Informational requests</w:t>
      </w:r>
    </w:p>
    <w:p>
      <w:pPr>
        <w:pStyle w:val="ListBullet"/>
      </w:pPr>
      <w:r>
        <w:rPr>
          <w:rFonts w:ascii="Times New Roman" w:hAnsi="Times New Roman"/>
          <w:sz w:val="24"/>
        </w:rPr>
        <w:t>Long-term projects without time sensitivity</w:t>
      </w:r>
    </w:p>
    <w:p>
      <w:pPr>
        <w:spacing w:after="120"/>
      </w:pPr>
      <w:r>
        <w:rPr>
          <w:rFonts w:ascii="Times New Roman" w:hAnsi="Times New Roman"/>
          <w:sz w:val="24"/>
        </w:rPr>
        <w:t>These matters are handled as capacity permits.</w:t>
      </w:r>
    </w:p>
    <w:p>
      <w:pPr>
        <w:spacing w:before="360" w:after="200"/>
      </w:pPr>
      <w:r>
        <w:rPr>
          <w:rFonts w:ascii="Times New Roman" w:hAnsi="Times New Roman"/>
          <w:b/>
          <w:sz w:val="24"/>
          <w:u w:val="single"/>
        </w:rPr>
        <w:t>Legal Workflow Dashboard</w:t>
      </w:r>
    </w:p>
    <w:p>
      <w:pPr>
        <w:spacing w:after="120"/>
      </w:pPr>
      <w:r>
        <w:rPr>
          <w:rFonts w:ascii="Times New Roman" w:hAnsi="Times New Roman"/>
          <w:sz w:val="24"/>
        </w:rPr>
        <w:t>Salesforce will be programmed to compile legal requests into a centralized dashboard that provides visibility into pending legal requests, priority designations, responsible legal personnel, draft status and expected completion timelines.</w:t>
      </w:r>
    </w:p>
    <w:p>
      <w:pPr>
        <w:spacing w:after="120"/>
      </w:pPr>
      <w:r>
        <w:rPr>
          <w:rFonts w:ascii="Times New Roman" w:hAnsi="Times New Roman"/>
          <w:sz w:val="24"/>
        </w:rPr>
        <w:t>This dashboard helps ensure transparency across the leasing pipeline and allows leadership to monitor the flow of legal work across the organization.</w:t>
      </w:r>
    </w:p>
    <w:p>
      <w:pPr>
        <w:spacing w:before="360" w:after="200"/>
      </w:pPr>
      <w:r>
        <w:rPr>
          <w:rFonts w:ascii="Times New Roman" w:hAnsi="Times New Roman"/>
          <w:b/>
          <w:sz w:val="24"/>
          <w:u w:val="single"/>
        </w:rPr>
        <w:t>Monitoring and Updates</w:t>
      </w:r>
    </w:p>
    <w:p>
      <w:pPr>
        <w:spacing w:after="120"/>
      </w:pPr>
      <w:r>
        <w:rPr>
          <w:rFonts w:ascii="Times New Roman" w:hAnsi="Times New Roman"/>
          <w:sz w:val="24"/>
        </w:rPr>
        <w:t>The Department, together with the Asset Management Department, should periodically review the status of open matters to ensure that priorities remain appropriate as circumstances evolve.</w:t>
      </w:r>
    </w:p>
    <w:p>
      <w:pPr>
        <w:spacing w:after="120"/>
      </w:pPr>
      <w:r>
        <w:rPr>
          <w:rFonts w:ascii="Times New Roman" w:hAnsi="Times New Roman"/>
          <w:sz w:val="24"/>
        </w:rPr>
        <w:t>While priority assignments are generally based on objective criteria noted above, certain matters may require adjustment based on business judgment. As previously noted, certain authorized persons may override the standard priority designation when necessary to reflect the Company’s broader business needs and legal risk considerations.</w:t>
      </w:r>
    </w:p>
    <w:p>
      <w:r>
        <w:br w:type="page"/>
      </w:r>
    </w:p>
    <w:p>
      <w:pPr>
        <w:spacing w:before="480" w:after="240"/>
      </w:pPr>
      <w:r>
        <w:rPr>
          <w:rFonts w:ascii="Times New Roman" w:hAnsi="Times New Roman"/>
          <w:b/>
          <w:sz w:val="24"/>
        </w:rPr>
        <w:t>5. LEASING ASSET MANAGEMENT PROCEDURES</w:t>
      </w:r>
    </w:p>
    <w:p>
      <w:pPr>
        <w:spacing w:after="120"/>
      </w:pPr>
      <w:r>
        <w:rPr>
          <w:rFonts w:ascii="Times New Roman" w:hAnsi="Times New Roman"/>
          <w:sz w:val="24"/>
        </w:rPr>
        <w:t>Leasing activity represents a core component of the Company’s operations and revenue generation. The Legal Department supports Asset Management in connection with lease negotiations and documentation while ensuring that lease agreements appropriately protect the Company’s legal and financial interests.</w:t>
      </w:r>
    </w:p>
    <w:p>
      <w:pPr>
        <w:spacing w:after="120"/>
      </w:pPr>
      <w:r>
        <w:rPr>
          <w:rFonts w:ascii="Times New Roman" w:hAnsi="Times New Roman"/>
          <w:sz w:val="24"/>
        </w:rPr>
        <w:t>The procedures described in this section establish standardized workflows for:</w:t>
      </w:r>
    </w:p>
    <w:p>
      <w:pPr>
        <w:pStyle w:val="ListBullet"/>
      </w:pPr>
      <w:r>
        <w:rPr>
          <w:rFonts w:ascii="Times New Roman" w:hAnsi="Times New Roman"/>
          <w:sz w:val="24"/>
        </w:rPr>
        <w:t>Lease drafting and review</w:t>
      </w:r>
    </w:p>
    <w:p>
      <w:pPr>
        <w:pStyle w:val="ListBullet"/>
      </w:pPr>
      <w:r>
        <w:rPr>
          <w:rFonts w:ascii="Times New Roman" w:hAnsi="Times New Roman"/>
          <w:sz w:val="24"/>
        </w:rPr>
        <w:t>Document collaboration between Legal and Asset Management</w:t>
      </w:r>
    </w:p>
    <w:p>
      <w:pPr>
        <w:pStyle w:val="ListBullet"/>
      </w:pPr>
      <w:r>
        <w:rPr>
          <w:rFonts w:ascii="Times New Roman" w:hAnsi="Times New Roman"/>
          <w:sz w:val="24"/>
        </w:rPr>
        <w:t>Document version control</w:t>
      </w:r>
    </w:p>
    <w:p>
      <w:pPr>
        <w:pStyle w:val="ListBullet"/>
      </w:pPr>
      <w:r>
        <w:rPr>
          <w:rFonts w:ascii="Times New Roman" w:hAnsi="Times New Roman"/>
          <w:sz w:val="24"/>
        </w:rPr>
        <w:t>Internal and external circulation of lease drafts</w:t>
      </w:r>
    </w:p>
    <w:p>
      <w:pPr>
        <w:spacing w:after="120"/>
      </w:pPr>
      <w:r>
        <w:rPr>
          <w:rFonts w:ascii="Times New Roman" w:hAnsi="Times New Roman"/>
          <w:sz w:val="24"/>
        </w:rPr>
        <w:t>These procedures are designed to maintain document integrity, efficient collaboration, and clear accountability throughout the leasing process.</w:t>
      </w:r>
    </w:p>
    <w:p>
      <w:pPr>
        <w:spacing w:before="360" w:after="200"/>
      </w:pPr>
      <w:r>
        <w:rPr>
          <w:rFonts w:ascii="Times New Roman" w:hAnsi="Times New Roman"/>
          <w:b/>
          <w:sz w:val="24"/>
          <w:u w:val="single"/>
        </w:rPr>
        <w:t>Leasing Workflow Overview</w:t>
      </w:r>
    </w:p>
    <w:p>
      <w:pPr>
        <w:spacing w:after="120"/>
      </w:pPr>
      <w:r>
        <w:rPr>
          <w:rFonts w:ascii="Times New Roman" w:hAnsi="Times New Roman"/>
          <w:sz w:val="24"/>
        </w:rPr>
        <w:t>The leasing workflow generally involves the following steps:</w:t>
      </w:r>
    </w:p>
    <w:p>
      <w:pPr>
        <w:pStyle w:val="ListNumber"/>
      </w:pPr>
      <w:r>
        <w:rPr>
          <w:rFonts w:ascii="Times New Roman" w:hAnsi="Times New Roman"/>
          <w:sz w:val="24"/>
        </w:rPr>
        <w:t>Asset Management designates a SharePoint workspace to store draft Word documents (e.g., lease analysis, LOIs, etc.) and to allow internal review by the deal team.</w:t>
      </w:r>
    </w:p>
    <w:p>
      <w:pPr>
        <w:pStyle w:val="ListNumber"/>
      </w:pPr>
      <w:r>
        <w:rPr>
          <w:rFonts w:ascii="Times New Roman" w:hAnsi="Times New Roman"/>
          <w:sz w:val="24"/>
        </w:rPr>
        <w:t>Asset Management submits a request for legal drafting or review through Salesforce’s Leasing Process system.</w:t>
      </w:r>
    </w:p>
    <w:p>
      <w:pPr>
        <w:pStyle w:val="ListNumber"/>
      </w:pPr>
      <w:r>
        <w:rPr>
          <w:rFonts w:ascii="Times New Roman" w:hAnsi="Times New Roman"/>
          <w:sz w:val="24"/>
        </w:rPr>
        <w:t>Legal prepares the initial draft or reviews the proposed form. If the request is to review a tenant-proposed or tenant-revised form, Asset Management should first provide internal comments and revisions in the document using the “Comment” and “Tracked Changes” functions. Legal will (i) revise and provide comments to Asset Management in the Word document using the “@mention” function and (ii) review and incorporate internal comments and revisions, as applicable. Drafting-related communications should be made using these functions, in lieu of e-mail.</w:t>
      </w:r>
    </w:p>
    <w:p>
      <w:pPr>
        <w:pStyle w:val="ListNumber"/>
      </w:pPr>
      <w:r>
        <w:rPr>
          <w:rFonts w:ascii="Times New Roman" w:hAnsi="Times New Roman"/>
          <w:sz w:val="24"/>
        </w:rPr>
        <w:t>Once internal review is completed, Legal or Asset Management will (i) generate a comparison using the “Compare” function in Word of the draft against the tenant-proposed form, if applicable, and (ii) download a local copy of the SharePoint draft and circulate the draft to tenant counsel or the tenant’s representative, as applicable. Asset Management will then indicate, through Salesforce’s Leasing Process system, that the lease or lease amendment has proceeded to negotiation phase.</w:t>
      </w:r>
    </w:p>
    <w:p>
      <w:pPr>
        <w:pStyle w:val="ListNumber"/>
      </w:pPr>
      <w:r>
        <w:rPr>
          <w:rFonts w:ascii="Times New Roman" w:hAnsi="Times New Roman"/>
          <w:sz w:val="24"/>
        </w:rPr>
        <w:t>Lease drafts are revised as negotiations progress. Every initial and subsequent external draft will be saved as a separate Word document in accordance with applicable naming convention (See Naming Convention below).</w:t>
      </w:r>
    </w:p>
    <w:p>
      <w:pPr>
        <w:pStyle w:val="ListNumber"/>
      </w:pPr>
      <w:r>
        <w:rPr>
          <w:rFonts w:ascii="Times New Roman" w:hAnsi="Times New Roman"/>
          <w:sz w:val="24"/>
        </w:rPr>
        <w:t>Final documents are prepared for signature and distribution by the applicable Leasing Administrator from Asset Management and stored in ShareFile (not to be confused with SharePoint).</w:t>
      </w:r>
    </w:p>
    <w:p>
      <w:pPr>
        <w:spacing w:before="360" w:after="200"/>
      </w:pPr>
      <w:r>
        <w:rPr>
          <w:rFonts w:ascii="Times New Roman" w:hAnsi="Times New Roman"/>
          <w:b/>
          <w:sz w:val="24"/>
          <w:u w:val="single"/>
        </w:rPr>
        <w:t>Role of Asset Management</w:t>
      </w:r>
    </w:p>
    <w:p>
      <w:pPr>
        <w:spacing w:after="120"/>
      </w:pPr>
      <w:r>
        <w:rPr>
          <w:rFonts w:ascii="Times New Roman" w:hAnsi="Times New Roman"/>
          <w:sz w:val="24"/>
        </w:rPr>
        <w:t>Asset Management is responsible for, and has final authority over, the commercial negotiation of lease terms and for maintaining the tenant (and broker, if applicable) relationship throughout the negotiation process.</w:t>
      </w:r>
    </w:p>
    <w:p>
      <w:pPr>
        <w:spacing w:after="120"/>
      </w:pPr>
      <w:r>
        <w:rPr>
          <w:rFonts w:ascii="Times New Roman" w:hAnsi="Times New Roman"/>
          <w:sz w:val="24"/>
        </w:rPr>
        <w:t>Asset Management responsibilities include:</w:t>
      </w:r>
    </w:p>
    <w:p>
      <w:pPr>
        <w:pStyle w:val="ListBullet"/>
      </w:pPr>
      <w:r>
        <w:rPr>
          <w:rFonts w:ascii="Times New Roman" w:hAnsi="Times New Roman"/>
          <w:sz w:val="24"/>
        </w:rPr>
        <w:t>Negotiating economic terms with tenants</w:t>
      </w:r>
    </w:p>
    <w:p>
      <w:pPr>
        <w:pStyle w:val="ListBullet"/>
      </w:pPr>
      <w:r>
        <w:rPr>
          <w:rFonts w:ascii="Times New Roman" w:hAnsi="Times New Roman"/>
          <w:sz w:val="24"/>
        </w:rPr>
        <w:t>Coordinating with tenants and brokers regarding business terms</w:t>
      </w:r>
    </w:p>
    <w:p>
      <w:pPr>
        <w:pStyle w:val="ListBullet"/>
      </w:pPr>
      <w:r>
        <w:rPr>
          <w:rFonts w:ascii="Times New Roman" w:hAnsi="Times New Roman"/>
          <w:sz w:val="24"/>
        </w:rPr>
        <w:t>Routing drafts between the Legal Department, tenants and brokers</w:t>
      </w:r>
    </w:p>
    <w:p>
      <w:pPr>
        <w:pStyle w:val="ListBullet"/>
      </w:pPr>
      <w:r>
        <w:rPr>
          <w:rFonts w:ascii="Times New Roman" w:hAnsi="Times New Roman"/>
          <w:sz w:val="24"/>
        </w:rPr>
        <w:t>Confirming that negotiated business terms are accurately reflected in the lease documentation</w:t>
      </w:r>
    </w:p>
    <w:p>
      <w:pPr>
        <w:spacing w:after="120"/>
      </w:pPr>
      <w:r>
        <w:rPr>
          <w:rFonts w:ascii="Times New Roman" w:hAnsi="Times New Roman"/>
          <w:sz w:val="24"/>
        </w:rPr>
        <w:t>On some occasions, Asset Management may be permitted to draft or document a business term in a legal document; however, the Department will have final approval of the document. If for any reason, typically due to time-sensitivity, the Department does not have the opportunity to review a document, Asset Management may be permitted to transmit provided, that, in its transmission correspondence, Asset Management expressly reserves the right for final review by the Company’s Legal Department.</w:t>
      </w:r>
    </w:p>
    <w:p>
      <w:pPr>
        <w:spacing w:after="120"/>
      </w:pPr>
      <w:r>
        <w:rPr>
          <w:rFonts w:ascii="Times New Roman" w:hAnsi="Times New Roman"/>
          <w:sz w:val="24"/>
        </w:rPr>
        <w:t>The Department supports Asset Management by ensuring that negotiated terms are properly documented and that legal risks are appropriately addressed.</w:t>
      </w:r>
    </w:p>
    <w:p>
      <w:pPr>
        <w:spacing w:after="120"/>
      </w:pPr>
      <w:r>
        <w:rPr>
          <w:rFonts w:ascii="Times New Roman" w:hAnsi="Times New Roman"/>
          <w:sz w:val="24"/>
        </w:rPr>
        <w:t>Legal responsibilities include:</w:t>
      </w:r>
    </w:p>
    <w:p>
      <w:pPr>
        <w:pStyle w:val="ListBullet"/>
      </w:pPr>
      <w:r>
        <w:rPr>
          <w:rFonts w:ascii="Times New Roman" w:hAnsi="Times New Roman"/>
          <w:sz w:val="24"/>
        </w:rPr>
        <w:t>Drafting lease agreements and amendments</w:t>
      </w:r>
    </w:p>
    <w:p>
      <w:pPr>
        <w:pStyle w:val="ListBullet"/>
      </w:pPr>
      <w:r>
        <w:rPr>
          <w:rFonts w:ascii="Times New Roman" w:hAnsi="Times New Roman"/>
          <w:sz w:val="24"/>
        </w:rPr>
        <w:t>Reviewing tenant-proposed lease forms</w:t>
      </w:r>
    </w:p>
    <w:p>
      <w:pPr>
        <w:pStyle w:val="ListBullet"/>
      </w:pPr>
      <w:r>
        <w:rPr>
          <w:rFonts w:ascii="Times New Roman" w:hAnsi="Times New Roman"/>
          <w:sz w:val="24"/>
        </w:rPr>
        <w:t>Ensuring consistency with the Company’s standard lease provisions</w:t>
      </w:r>
    </w:p>
    <w:p>
      <w:pPr>
        <w:pStyle w:val="ListBullet"/>
      </w:pPr>
      <w:r>
        <w:rPr>
          <w:rFonts w:ascii="Times New Roman" w:hAnsi="Times New Roman"/>
          <w:sz w:val="24"/>
        </w:rPr>
        <w:t>Advising Asset Management regarding legal implications of revisions made by tenant and/or Asset Management</w:t>
      </w:r>
    </w:p>
    <w:p>
      <w:pPr>
        <w:pStyle w:val="ListBullet"/>
      </w:pPr>
      <w:r>
        <w:rPr>
          <w:rFonts w:ascii="Times New Roman" w:hAnsi="Times New Roman"/>
          <w:sz w:val="24"/>
        </w:rPr>
        <w:t>Maintaining document version control</w:t>
      </w:r>
    </w:p>
    <w:p>
      <w:pPr>
        <w:pStyle w:val="ListBullet"/>
      </w:pPr>
      <w:r>
        <w:rPr>
          <w:rFonts w:ascii="Times New Roman" w:hAnsi="Times New Roman"/>
          <w:sz w:val="24"/>
        </w:rPr>
        <w:t>Coordinating the internal review process prior to external circulation</w:t>
      </w:r>
    </w:p>
    <w:p>
      <w:pPr>
        <w:spacing w:before="360" w:after="200"/>
      </w:pPr>
      <w:r>
        <w:rPr>
          <w:rFonts w:ascii="Times New Roman" w:hAnsi="Times New Roman"/>
          <w:b/>
          <w:sz w:val="24"/>
          <w:u w:val="single"/>
        </w:rPr>
        <w:t>SharePoint</w:t>
      </w:r>
    </w:p>
    <w:p>
      <w:pPr>
        <w:spacing w:after="120"/>
      </w:pPr>
      <w:r>
        <w:rPr>
          <w:rFonts w:ascii="Times New Roman" w:hAnsi="Times New Roman"/>
          <w:sz w:val="24"/>
        </w:rPr>
        <w:t>All lease-related documents must be stored in the designated SharePoint workspace for the applicable transaction.</w:t>
      </w:r>
    </w:p>
    <w:p>
      <w:pPr>
        <w:spacing w:after="120"/>
      </w:pPr>
      <w:r>
        <w:rPr>
          <w:rFonts w:ascii="Times New Roman" w:hAnsi="Times New Roman"/>
          <w:sz w:val="24"/>
        </w:rPr>
        <w:t>The SharePoint workspace enables:</w:t>
      </w:r>
    </w:p>
    <w:p>
      <w:pPr>
        <w:pStyle w:val="ListBullet"/>
      </w:pPr>
      <w:r>
        <w:rPr>
          <w:rFonts w:ascii="Times New Roman" w:hAnsi="Times New Roman"/>
          <w:sz w:val="24"/>
        </w:rPr>
        <w:t>Centralized document storage</w:t>
      </w:r>
    </w:p>
    <w:p>
      <w:pPr>
        <w:pStyle w:val="ListBullet"/>
      </w:pPr>
      <w:r>
        <w:rPr>
          <w:rFonts w:ascii="Times New Roman" w:hAnsi="Times New Roman"/>
          <w:sz w:val="24"/>
        </w:rPr>
        <w:t>Version history tracking for auditing drafting decisions</w:t>
      </w:r>
    </w:p>
    <w:p>
      <w:pPr>
        <w:pStyle w:val="ListBullet"/>
      </w:pPr>
      <w:r>
        <w:rPr>
          <w:rFonts w:ascii="Times New Roman" w:hAnsi="Times New Roman"/>
          <w:sz w:val="24"/>
        </w:rPr>
        <w:t>Internal collaboration</w:t>
      </w:r>
    </w:p>
    <w:p>
      <w:pPr>
        <w:pStyle w:val="ListBullet"/>
      </w:pPr>
      <w:r>
        <w:rPr>
          <w:rFonts w:ascii="Times New Roman" w:hAnsi="Times New Roman"/>
          <w:sz w:val="24"/>
        </w:rPr>
        <w:t>Preservation of document integrity</w:t>
      </w:r>
    </w:p>
    <w:p>
      <w:pPr>
        <w:spacing w:after="120"/>
      </w:pPr>
      <w:r>
        <w:rPr>
          <w:rFonts w:ascii="Times New Roman" w:hAnsi="Times New Roman"/>
          <w:sz w:val="24"/>
        </w:rPr>
        <w:t>Maintaining a centralized repository ensures that all members of the deal team are working from the most current version of the document.</w:t>
      </w:r>
    </w:p>
    <w:p>
      <w:pPr>
        <w:spacing w:before="360" w:after="200"/>
      </w:pPr>
      <w:r>
        <w:rPr>
          <w:rFonts w:ascii="Times New Roman" w:hAnsi="Times New Roman"/>
          <w:b/>
          <w:sz w:val="24"/>
          <w:u w:val="single"/>
        </w:rPr>
        <w:t>Document Naming Convention</w:t>
      </w:r>
    </w:p>
    <w:p>
      <w:pPr>
        <w:spacing w:after="120"/>
      </w:pPr>
      <w:r>
        <w:rPr>
          <w:rFonts w:ascii="Times New Roman" w:hAnsi="Times New Roman"/>
          <w:sz w:val="24"/>
        </w:rPr>
        <w:t>All draft lease documents must follow the Company’s standardized naming convention to ensure consistency and clarity.</w:t>
      </w:r>
    </w:p>
    <w:p>
      <w:pPr>
        <w:spacing w:after="120"/>
      </w:pPr>
      <w:r>
        <w:rPr>
          <w:rFonts w:ascii="Times New Roman" w:hAnsi="Times New Roman"/>
          <w:sz w:val="24"/>
        </w:rPr>
        <w:t>The standard naming format is:</w:t>
      </w:r>
    </w:p>
    <w:p>
      <w:pPr>
        <w:spacing w:after="120"/>
      </w:pPr>
      <w:r>
        <w:rPr>
          <w:rFonts w:ascii="Times New Roman" w:hAnsi="Times New Roman"/>
          <w:b/>
          <w:sz w:val="24"/>
        </w:rPr>
        <w:t>[Document Type] – [Tenant Name] – [Property Address] – PLYM Draft</w:t>
      </w:r>
    </w:p>
    <w:p>
      <w:pPr>
        <w:spacing w:after="120"/>
      </w:pPr>
      <w:r>
        <w:rPr>
          <w:rFonts w:ascii="Times New Roman" w:hAnsi="Times New Roman"/>
          <w:sz w:val="24"/>
        </w:rPr>
        <w:t>Subsequent versions, whether or not proposed by the Company, should be numbered sequentially. Tenant-proposed forms will constitute the first version of any draft to be reviewed internally by the deal team. The most recent version of the document, as reflected in the version sequence, shall be deemed the operative draft for external circulation to the tenant or, if finalized, for execution.</w:t>
      </w:r>
    </w:p>
    <w:p>
      <w:pPr>
        <w:spacing w:after="120"/>
      </w:pPr>
      <w:r>
        <w:rPr>
          <w:rFonts w:ascii="Times New Roman" w:hAnsi="Times New Roman"/>
          <w:i/>
          <w:sz w:val="24"/>
        </w:rPr>
        <w:t>Lease – ABC Logistics – 100 Industrial Drive – PLYM Draft v2</w:t>
      </w:r>
    </w:p>
    <w:p>
      <w:pPr>
        <w:spacing w:after="120"/>
      </w:pPr>
      <w:r>
        <w:rPr>
          <w:rFonts w:ascii="Times New Roman" w:hAnsi="Times New Roman"/>
          <w:i/>
          <w:sz w:val="24"/>
        </w:rPr>
        <w:t>Lease – ABC Logistics – 100 Industrial Drive – PLYM Draft v3</w:t>
      </w:r>
    </w:p>
    <w:p>
      <w:pPr>
        <w:spacing w:after="120"/>
      </w:pPr>
      <w:r>
        <w:rPr>
          <w:rFonts w:ascii="Times New Roman" w:hAnsi="Times New Roman"/>
          <w:sz w:val="24"/>
        </w:rPr>
        <w:t>Consistent naming conventions help prevent confusion and allow the deal team to easily identify the most recent version of a document.</w:t>
      </w:r>
    </w:p>
    <w:p>
      <w:pPr>
        <w:spacing w:before="360" w:after="200"/>
      </w:pPr>
      <w:r>
        <w:rPr>
          <w:rFonts w:ascii="Times New Roman" w:hAnsi="Times New Roman"/>
          <w:b/>
          <w:sz w:val="24"/>
          <w:u w:val="single"/>
        </w:rPr>
        <w:t>Tracked Changes Protocol</w:t>
      </w:r>
    </w:p>
    <w:p>
      <w:pPr>
        <w:spacing w:after="120"/>
      </w:pPr>
      <w:r>
        <w:rPr>
          <w:rFonts w:ascii="Times New Roman" w:hAnsi="Times New Roman"/>
          <w:sz w:val="24"/>
        </w:rPr>
        <w:t>Tracked changes must remain enabled during the lease negotiation process to preserve visibility into both internal and external revisions and maintain a clear record of document changes. Tracked changes should not be removed before internal review is completed. The Department should ensure that internal comments are resolved prior to approval of external circulation. After deleting resolved comments, the Department will generate a comparison of the initial version of a tenant-proposed form, as applicable, and the most recent version revised by the Department and the deal team.</w:t>
      </w:r>
    </w:p>
    <w:p>
      <w:pPr>
        <w:spacing w:after="120"/>
      </w:pPr>
      <w:r>
        <w:rPr>
          <w:rFonts w:ascii="Times New Roman" w:hAnsi="Times New Roman"/>
          <w:sz w:val="24"/>
        </w:rPr>
        <w:t>Maintaining tracked changes ensures transparency and facilitates efficient negotiation.</w:t>
      </w:r>
    </w:p>
    <w:p>
      <w:pPr>
        <w:spacing w:before="360" w:after="200"/>
      </w:pPr>
      <w:r>
        <w:rPr>
          <w:rFonts w:ascii="Times New Roman" w:hAnsi="Times New Roman"/>
          <w:b/>
          <w:sz w:val="24"/>
          <w:u w:val="single"/>
        </w:rPr>
        <w:t>Continuous Improvement of Lease Documentation</w:t>
      </w:r>
    </w:p>
    <w:p>
      <w:pPr>
        <w:spacing w:after="120"/>
      </w:pPr>
      <w:r>
        <w:rPr>
          <w:rFonts w:ascii="Times New Roman" w:hAnsi="Times New Roman"/>
          <w:sz w:val="24"/>
        </w:rPr>
        <w:t>The Legal Department periodically reviews leasing activity to identify opportunities to improve the Company’s standard lease forms and negotiation practices.</w:t>
      </w:r>
    </w:p>
    <w:p>
      <w:pPr>
        <w:spacing w:after="120"/>
      </w:pPr>
      <w:r>
        <w:rPr>
          <w:rFonts w:ascii="Times New Roman" w:hAnsi="Times New Roman"/>
          <w:sz w:val="24"/>
        </w:rPr>
        <w:t>Areas of review may include:</w:t>
      </w:r>
    </w:p>
    <w:p>
      <w:pPr>
        <w:pStyle w:val="ListBullet"/>
      </w:pPr>
      <w:r>
        <w:rPr>
          <w:rFonts w:ascii="Times New Roman" w:hAnsi="Times New Roman"/>
          <w:sz w:val="24"/>
        </w:rPr>
        <w:t>Frequently negotiated provisions</w:t>
      </w:r>
    </w:p>
    <w:p>
      <w:pPr>
        <w:pStyle w:val="ListBullet"/>
      </w:pPr>
      <w:r>
        <w:rPr>
          <w:rFonts w:ascii="Times New Roman" w:hAnsi="Times New Roman"/>
          <w:sz w:val="24"/>
        </w:rPr>
        <w:t>Recurring tenant concerns</w:t>
      </w:r>
    </w:p>
    <w:p>
      <w:pPr>
        <w:pStyle w:val="ListBullet"/>
      </w:pPr>
      <w:r>
        <w:rPr>
          <w:rFonts w:ascii="Times New Roman" w:hAnsi="Times New Roman"/>
          <w:sz w:val="24"/>
        </w:rPr>
        <w:t>Legal developments affecting lease provisions</w:t>
      </w:r>
    </w:p>
    <w:p>
      <w:pPr>
        <w:pStyle w:val="ListBullet"/>
      </w:pPr>
      <w:r>
        <w:rPr>
          <w:rFonts w:ascii="Times New Roman" w:hAnsi="Times New Roman"/>
          <w:sz w:val="24"/>
        </w:rPr>
        <w:t>Operational feedback from Asset Management</w:t>
      </w:r>
    </w:p>
    <w:p>
      <w:pPr>
        <w:spacing w:after="120"/>
      </w:pPr>
      <w:r>
        <w:rPr>
          <w:rFonts w:ascii="Times New Roman" w:hAnsi="Times New Roman"/>
          <w:sz w:val="24"/>
        </w:rPr>
        <w:t>These reviews help ensure that the Company’s leasing documentation evolves to reflect market conditions, operational needs, and risk management priorities.</w:t>
      </w:r>
    </w:p>
    <w:p>
      <w:r>
        <w:br w:type="page"/>
      </w:r>
    </w:p>
    <w:p>
      <w:pPr>
        <w:spacing w:before="480" w:after="240"/>
      </w:pPr>
      <w:r>
        <w:rPr>
          <w:rFonts w:ascii="Times New Roman" w:hAnsi="Times New Roman"/>
          <w:b/>
          <w:sz w:val="24"/>
        </w:rPr>
        <w:t>6. LITIGATION &amp; OUTSIDE COUNSEL MANAGEMENT</w:t>
      </w:r>
    </w:p>
    <w:p>
      <w:pPr>
        <w:spacing w:after="120"/>
      </w:pPr>
      <w:r>
        <w:rPr>
          <w:rFonts w:ascii="Times New Roman" w:hAnsi="Times New Roman"/>
          <w:sz w:val="24"/>
        </w:rPr>
        <w:t>The Legal Department is responsible for overseeing all litigation and dispute-related matters involving the Company. This includes managing legal risk, coordinating with outside counsel, controlling legal expenses, and ensuring that litigation strategy aligns with the Company’s business objectives.</w:t>
      </w:r>
    </w:p>
    <w:p>
      <w:pPr>
        <w:spacing w:after="120"/>
      </w:pPr>
      <w:r>
        <w:rPr>
          <w:rFonts w:ascii="Times New Roman" w:hAnsi="Times New Roman"/>
          <w:sz w:val="24"/>
        </w:rPr>
        <w:t>The procedures set forth in this section are designed to:</w:t>
      </w:r>
    </w:p>
    <w:p>
      <w:pPr>
        <w:pStyle w:val="ListBullet"/>
      </w:pPr>
      <w:r>
        <w:rPr>
          <w:rFonts w:ascii="Times New Roman" w:hAnsi="Times New Roman"/>
          <w:sz w:val="24"/>
        </w:rPr>
        <w:t>Ensure consistent and centralized management of litigation</w:t>
      </w:r>
    </w:p>
    <w:p>
      <w:pPr>
        <w:pStyle w:val="ListBullet"/>
      </w:pPr>
      <w:r>
        <w:rPr>
          <w:rFonts w:ascii="Times New Roman" w:hAnsi="Times New Roman"/>
          <w:sz w:val="24"/>
        </w:rPr>
        <w:t>Maintain visibility into legal exposure across the portfolio</w:t>
      </w:r>
    </w:p>
    <w:p>
      <w:pPr>
        <w:pStyle w:val="ListBullet"/>
      </w:pPr>
      <w:r>
        <w:rPr>
          <w:rFonts w:ascii="Times New Roman" w:hAnsi="Times New Roman"/>
          <w:sz w:val="24"/>
        </w:rPr>
        <w:t>Promote cost-effective use of outside counsel</w:t>
      </w:r>
    </w:p>
    <w:p>
      <w:pPr>
        <w:pStyle w:val="ListBullet"/>
      </w:pPr>
      <w:r>
        <w:rPr>
          <w:rFonts w:ascii="Times New Roman" w:hAnsi="Times New Roman"/>
          <w:sz w:val="24"/>
        </w:rPr>
        <w:t>Support timely and informed decision-making by executive leadership</w:t>
      </w:r>
    </w:p>
    <w:p>
      <w:pPr>
        <w:spacing w:before="360" w:after="200"/>
      </w:pPr>
      <w:r>
        <w:rPr>
          <w:rFonts w:ascii="Times New Roman" w:hAnsi="Times New Roman"/>
          <w:b/>
          <w:sz w:val="24"/>
          <w:u w:val="single"/>
        </w:rPr>
        <w:t>Litigation Intake and Tracking</w:t>
      </w:r>
    </w:p>
    <w:p>
      <w:pPr>
        <w:spacing w:after="120"/>
      </w:pPr>
      <w:r>
        <w:rPr>
          <w:rFonts w:ascii="Times New Roman" w:hAnsi="Times New Roman"/>
          <w:sz w:val="24"/>
        </w:rPr>
        <w:t>All litigation and dispute matters must be logged in the Legal Risk Tracker immediately upon receipt of a demand, complaint, or notice of claim. The Department will assign each matter a unique identifier and designate a responsible attorney or legal professional.</w:t>
      </w:r>
    </w:p>
    <w:p>
      <w:pPr>
        <w:spacing w:after="120"/>
      </w:pPr>
      <w:r>
        <w:rPr>
          <w:rFonts w:ascii="Times New Roman" w:hAnsi="Times New Roman"/>
          <w:sz w:val="24"/>
        </w:rPr>
        <w:t>For each matter, the following information must be documented:</w:t>
      </w:r>
    </w:p>
    <w:p>
      <w:pPr>
        <w:pStyle w:val="ListBullet"/>
      </w:pPr>
      <w:r>
        <w:rPr>
          <w:rFonts w:ascii="Times New Roman" w:hAnsi="Times New Roman"/>
          <w:sz w:val="24"/>
        </w:rPr>
        <w:t>Parties involved</w:t>
      </w:r>
    </w:p>
    <w:p>
      <w:pPr>
        <w:pStyle w:val="ListBullet"/>
      </w:pPr>
      <w:r>
        <w:rPr>
          <w:rFonts w:ascii="Times New Roman" w:hAnsi="Times New Roman"/>
          <w:sz w:val="24"/>
        </w:rPr>
        <w:t>Nature of the claim or dispute</w:t>
      </w:r>
    </w:p>
    <w:p>
      <w:pPr>
        <w:pStyle w:val="ListBullet"/>
      </w:pPr>
      <w:r>
        <w:rPr>
          <w:rFonts w:ascii="Times New Roman" w:hAnsi="Times New Roman"/>
          <w:sz w:val="24"/>
        </w:rPr>
        <w:t>Property or entity affected</w:t>
      </w:r>
    </w:p>
    <w:p>
      <w:pPr>
        <w:pStyle w:val="ListBullet"/>
      </w:pPr>
      <w:r>
        <w:rPr>
          <w:rFonts w:ascii="Times New Roman" w:hAnsi="Times New Roman"/>
          <w:sz w:val="24"/>
        </w:rPr>
        <w:t>Date received and key deadlines</w:t>
      </w:r>
    </w:p>
    <w:p>
      <w:pPr>
        <w:pStyle w:val="ListBullet"/>
      </w:pPr>
      <w:r>
        <w:rPr>
          <w:rFonts w:ascii="Times New Roman" w:hAnsi="Times New Roman"/>
          <w:sz w:val="24"/>
        </w:rPr>
        <w:t>Assigned outside counsel (if applicable)</w:t>
      </w:r>
    </w:p>
    <w:p>
      <w:pPr>
        <w:pStyle w:val="ListBullet"/>
      </w:pPr>
      <w:r>
        <w:rPr>
          <w:rFonts w:ascii="Times New Roman" w:hAnsi="Times New Roman"/>
          <w:sz w:val="24"/>
        </w:rPr>
        <w:t>Estimated financial exposure</w:t>
      </w:r>
    </w:p>
    <w:p>
      <w:pPr>
        <w:pStyle w:val="ListBullet"/>
      </w:pPr>
      <w:r>
        <w:rPr>
          <w:rFonts w:ascii="Times New Roman" w:hAnsi="Times New Roman"/>
          <w:sz w:val="24"/>
        </w:rPr>
        <w:t>Litigation strategy and settlement posture</w:t>
      </w:r>
    </w:p>
    <w:p>
      <w:pPr>
        <w:spacing w:before="360" w:after="200"/>
      </w:pPr>
      <w:r>
        <w:rPr>
          <w:rFonts w:ascii="Times New Roman" w:hAnsi="Times New Roman"/>
          <w:b/>
          <w:sz w:val="24"/>
          <w:u w:val="single"/>
        </w:rPr>
        <w:t>Outside Counsel Selection and Engagement</w:t>
      </w:r>
    </w:p>
    <w:p>
      <w:pPr>
        <w:spacing w:after="120"/>
      </w:pPr>
      <w:r>
        <w:rPr>
          <w:rFonts w:ascii="Times New Roman" w:hAnsi="Times New Roman"/>
          <w:sz w:val="24"/>
        </w:rPr>
        <w:t>The Department maintains a panel of approved outside counsel firms, selected based on relevant expertise, jurisdictional coverage, responsiveness, and cost efficiency. All outside counsel engagements must be initiated by the Department.</w:t>
      </w:r>
    </w:p>
    <w:p>
      <w:pPr>
        <w:spacing w:after="120"/>
      </w:pPr>
      <w:r>
        <w:rPr>
          <w:rFonts w:ascii="Times New Roman" w:hAnsi="Times New Roman"/>
          <w:sz w:val="24"/>
        </w:rPr>
        <w:t>Prior to engagement, the Department will:</w:t>
      </w:r>
    </w:p>
    <w:p>
      <w:pPr>
        <w:pStyle w:val="ListNumber"/>
      </w:pPr>
      <w:r>
        <w:rPr>
          <w:rFonts w:ascii="Times New Roman" w:hAnsi="Times New Roman"/>
          <w:sz w:val="24"/>
        </w:rPr>
        <w:t>Define the scope of work and expected deliverables</w:t>
      </w:r>
    </w:p>
    <w:p>
      <w:pPr>
        <w:pStyle w:val="ListNumber"/>
      </w:pPr>
      <w:r>
        <w:rPr>
          <w:rFonts w:ascii="Times New Roman" w:hAnsi="Times New Roman"/>
          <w:sz w:val="24"/>
        </w:rPr>
        <w:t>Confirm applicable billing rates and rate caps (see Attachment C: Outside Counsel Billing Guidelines)</w:t>
      </w:r>
    </w:p>
    <w:p>
      <w:pPr>
        <w:pStyle w:val="ListNumber"/>
      </w:pPr>
      <w:r>
        <w:rPr>
          <w:rFonts w:ascii="Times New Roman" w:hAnsi="Times New Roman"/>
          <w:sz w:val="24"/>
        </w:rPr>
        <w:t>Establish a matter budget and obtain required approvals for engagements exceeding established thresholds (see Attachment A: Delegation of Authority Matrix)</w:t>
      </w:r>
    </w:p>
    <w:p>
      <w:pPr>
        <w:pStyle w:val="ListNumber"/>
      </w:pPr>
      <w:r>
        <w:rPr>
          <w:rFonts w:ascii="Times New Roman" w:hAnsi="Times New Roman"/>
          <w:sz w:val="24"/>
        </w:rPr>
        <w:t>Issue a written engagement letter specifying terms, staffing expectations, and reporting requirements</w:t>
      </w:r>
    </w:p>
    <w:p>
      <w:pPr>
        <w:spacing w:before="360" w:after="200"/>
      </w:pPr>
      <w:r>
        <w:rPr>
          <w:rFonts w:ascii="Times New Roman" w:hAnsi="Times New Roman"/>
          <w:b/>
          <w:sz w:val="24"/>
          <w:u w:val="single"/>
        </w:rPr>
        <w:t>Litigation Budget and Spend Management</w:t>
      </w:r>
    </w:p>
    <w:p>
      <w:pPr>
        <w:spacing w:after="120"/>
      </w:pPr>
      <w:r>
        <w:rPr>
          <w:rFonts w:ascii="Times New Roman" w:hAnsi="Times New Roman"/>
          <w:sz w:val="24"/>
        </w:rPr>
        <w:t>Outside counsel must submit matter budgets at the outset of each engagement. The Department monitors actual spend against budgets on a monthly basis.</w:t>
      </w:r>
    </w:p>
    <w:p>
      <w:pPr>
        <w:spacing w:after="120"/>
      </w:pPr>
      <w:r>
        <w:rPr>
          <w:rFonts w:ascii="Times New Roman" w:hAnsi="Times New Roman"/>
          <w:sz w:val="24"/>
        </w:rPr>
        <w:t>Budget oversight procedures include:</w:t>
      </w:r>
    </w:p>
    <w:p>
      <w:pPr>
        <w:pStyle w:val="ListBullet"/>
      </w:pPr>
      <w:r>
        <w:rPr>
          <w:rFonts w:ascii="Times New Roman" w:hAnsi="Times New Roman"/>
          <w:sz w:val="24"/>
        </w:rPr>
        <w:t>Monthly invoice review and approval by the responsible Department attorney</w:t>
      </w:r>
    </w:p>
    <w:p>
      <w:pPr>
        <w:pStyle w:val="ListBullet"/>
      </w:pPr>
      <w:r>
        <w:rPr>
          <w:rFonts w:ascii="Times New Roman" w:hAnsi="Times New Roman"/>
          <w:sz w:val="24"/>
        </w:rPr>
        <w:t>Comparison of actual spend to approved budget with variance analysis</w:t>
      </w:r>
    </w:p>
    <w:p>
      <w:pPr>
        <w:pStyle w:val="ListBullet"/>
      </w:pPr>
      <w:r>
        <w:rPr>
          <w:rFonts w:ascii="Times New Roman" w:hAnsi="Times New Roman"/>
          <w:sz w:val="24"/>
        </w:rPr>
        <w:t>Quarterly reporting of aggregate legal spend to the CFO</w:t>
      </w:r>
    </w:p>
    <w:p>
      <w:pPr>
        <w:pStyle w:val="ListBullet"/>
      </w:pPr>
      <w:r>
        <w:rPr>
          <w:rFonts w:ascii="Times New Roman" w:hAnsi="Times New Roman"/>
          <w:sz w:val="24"/>
        </w:rPr>
        <w:t>Pre-approval required for expenditures exceeding the original matter budget by more than 15%</w:t>
      </w:r>
    </w:p>
    <w:p>
      <w:pPr>
        <w:spacing w:before="360" w:after="200"/>
      </w:pPr>
      <w:r>
        <w:rPr>
          <w:rFonts w:ascii="Times New Roman" w:hAnsi="Times New Roman"/>
          <w:b/>
          <w:sz w:val="24"/>
          <w:u w:val="single"/>
        </w:rPr>
        <w:t>Litigation Strategy and Settlement Authority</w:t>
      </w:r>
    </w:p>
    <w:p>
      <w:pPr>
        <w:spacing w:after="120"/>
      </w:pPr>
      <w:r>
        <w:rPr>
          <w:rFonts w:ascii="Times New Roman" w:hAnsi="Times New Roman"/>
          <w:sz w:val="24"/>
        </w:rPr>
        <w:t>The Department develops litigation strategy in consultation with executive leadership. Settlement authority is governed by the Delegation of Authority Matrix (Attachment A). All settlement proposals must be documented in writing and include an analysis of the financial and strategic implications of the proposed resolution.</w:t>
      </w:r>
    </w:p>
    <w:p>
      <w:pPr>
        <w:spacing w:before="360" w:after="200"/>
      </w:pPr>
      <w:r>
        <w:rPr>
          <w:rFonts w:ascii="Times New Roman" w:hAnsi="Times New Roman"/>
          <w:b/>
          <w:sz w:val="24"/>
          <w:u w:val="single"/>
        </w:rPr>
        <w:t>Litigation Reporting</w:t>
      </w:r>
    </w:p>
    <w:p>
      <w:pPr>
        <w:spacing w:after="120"/>
      </w:pPr>
      <w:r>
        <w:rPr>
          <w:rFonts w:ascii="Times New Roman" w:hAnsi="Times New Roman"/>
          <w:sz w:val="24"/>
        </w:rPr>
        <w:t>The Department provides periodic litigation updates to executive leadership, including:</w:t>
      </w:r>
    </w:p>
    <w:p>
      <w:pPr>
        <w:pStyle w:val="ListBullet"/>
      </w:pPr>
      <w:r>
        <w:rPr>
          <w:rFonts w:ascii="Times New Roman" w:hAnsi="Times New Roman"/>
          <w:sz w:val="24"/>
        </w:rPr>
        <w:t>Status of all active matters</w:t>
      </w:r>
    </w:p>
    <w:p>
      <w:pPr>
        <w:pStyle w:val="ListBullet"/>
      </w:pPr>
      <w:r>
        <w:rPr>
          <w:rFonts w:ascii="Times New Roman" w:hAnsi="Times New Roman"/>
          <w:sz w:val="24"/>
        </w:rPr>
        <w:t>Changes in estimated exposure</w:t>
      </w:r>
    </w:p>
    <w:p>
      <w:pPr>
        <w:pStyle w:val="ListBullet"/>
      </w:pPr>
      <w:r>
        <w:rPr>
          <w:rFonts w:ascii="Times New Roman" w:hAnsi="Times New Roman"/>
          <w:sz w:val="24"/>
        </w:rPr>
        <w:t>Key developments and upcoming deadlines</w:t>
      </w:r>
    </w:p>
    <w:p>
      <w:pPr>
        <w:pStyle w:val="ListBullet"/>
      </w:pPr>
      <w:r>
        <w:rPr>
          <w:rFonts w:ascii="Times New Roman" w:hAnsi="Times New Roman"/>
          <w:sz w:val="24"/>
        </w:rPr>
        <w:t>Budget vs. actual spend analysis</w:t>
      </w:r>
    </w:p>
    <w:p>
      <w:pPr>
        <w:pStyle w:val="ListBullet"/>
      </w:pPr>
      <w:r>
        <w:rPr>
          <w:rFonts w:ascii="Times New Roman" w:hAnsi="Times New Roman"/>
          <w:sz w:val="24"/>
        </w:rPr>
        <w:t>Recommended actions or strategic decisions required</w:t>
      </w:r>
    </w:p>
    <w:p>
      <w:pPr>
        <w:spacing w:after="120"/>
      </w:pPr>
      <w:r>
        <w:rPr>
          <w:rFonts w:ascii="Times New Roman" w:hAnsi="Times New Roman"/>
          <w:sz w:val="24"/>
        </w:rPr>
        <w:t>Litigation reporting is integrated with the Legal Risk Tracker and the Legal Risk Dashboard (see Section 10 and Attachment B).</w:t>
      </w:r>
    </w:p>
    <w:p>
      <w:pPr>
        <w:spacing w:before="360" w:after="200"/>
      </w:pPr>
      <w:r>
        <w:rPr>
          <w:rFonts w:ascii="Times New Roman" w:hAnsi="Times New Roman"/>
          <w:b/>
          <w:sz w:val="24"/>
          <w:u w:val="single"/>
        </w:rPr>
        <w:t>Post-Litigation Review</w:t>
      </w:r>
    </w:p>
    <w:p>
      <w:pPr>
        <w:spacing w:after="120"/>
      </w:pPr>
      <w:r>
        <w:rPr>
          <w:rFonts w:ascii="Times New Roman" w:hAnsi="Times New Roman"/>
          <w:sz w:val="24"/>
        </w:rPr>
        <w:t>Upon resolution of significant matters, the Department conducts a post-litigation review to identify lessons learned and opportunities for process improvement. This review may include evaluation of outside counsel performance, assessment of litigation outcomes relative to initial exposure estimates, and identification of recurring issues that may warrant changes to lease forms, operational procedures, or risk management practices.</w:t>
      </w:r>
    </w:p>
    <w:p>
      <w:r>
        <w:br w:type="page"/>
      </w:r>
    </w:p>
    <w:p>
      <w:pPr>
        <w:spacing w:before="480" w:after="240"/>
      </w:pPr>
      <w:r>
        <w:rPr>
          <w:rFonts w:ascii="Times New Roman" w:hAnsi="Times New Roman"/>
          <w:b/>
          <w:sz w:val="24"/>
        </w:rPr>
        <w:t>7. CORPORATE GOVERNANCE &amp; ENTITY MANAGEMENT</w:t>
      </w:r>
    </w:p>
    <w:p>
      <w:pPr>
        <w:spacing w:after="120"/>
      </w:pPr>
      <w:r>
        <w:rPr>
          <w:rFonts w:ascii="Times New Roman" w:hAnsi="Times New Roman"/>
          <w:sz w:val="24"/>
        </w:rPr>
        <w:t>The Legal Department is responsible for overseeing the Company’s corporate governance framework and maintaining accurate and complete records for all legal entities within the Company’s organizational structure.</w:t>
      </w:r>
    </w:p>
    <w:p>
      <w:pPr>
        <w:spacing w:after="120"/>
      </w:pPr>
      <w:r>
        <w:rPr>
          <w:rFonts w:ascii="Times New Roman" w:hAnsi="Times New Roman"/>
          <w:sz w:val="24"/>
        </w:rPr>
        <w:t>These procedures are intended to:</w:t>
      </w:r>
    </w:p>
    <w:p>
      <w:pPr>
        <w:pStyle w:val="ListBullet"/>
      </w:pPr>
      <w:r>
        <w:rPr>
          <w:rFonts w:ascii="Times New Roman" w:hAnsi="Times New Roman"/>
          <w:sz w:val="24"/>
        </w:rPr>
        <w:t>Ensure compliance with applicable corporate and REIT requirements</w:t>
      </w:r>
    </w:p>
    <w:p>
      <w:pPr>
        <w:pStyle w:val="ListBullet"/>
      </w:pPr>
      <w:r>
        <w:rPr>
          <w:rFonts w:ascii="Times New Roman" w:hAnsi="Times New Roman"/>
          <w:sz w:val="24"/>
        </w:rPr>
        <w:t>Maintain accurate records of entity structure and authority</w:t>
      </w:r>
    </w:p>
    <w:p>
      <w:pPr>
        <w:pStyle w:val="ListBullet"/>
      </w:pPr>
      <w:r>
        <w:rPr>
          <w:rFonts w:ascii="Times New Roman" w:hAnsi="Times New Roman"/>
          <w:sz w:val="24"/>
        </w:rPr>
        <w:t>Support financing, transactional, and operational needs</w:t>
      </w:r>
    </w:p>
    <w:p>
      <w:pPr>
        <w:pStyle w:val="ListBullet"/>
      </w:pPr>
      <w:r>
        <w:rPr>
          <w:rFonts w:ascii="Times New Roman" w:hAnsi="Times New Roman"/>
          <w:sz w:val="24"/>
        </w:rPr>
        <w:t>Preserve institutional knowledge of the Company’s legal structure</w:t>
      </w:r>
    </w:p>
    <w:p>
      <w:pPr>
        <w:spacing w:before="360" w:after="200"/>
      </w:pPr>
      <w:r>
        <w:rPr>
          <w:rFonts w:ascii="Times New Roman" w:hAnsi="Times New Roman"/>
          <w:b/>
          <w:sz w:val="24"/>
          <w:u w:val="single"/>
        </w:rPr>
        <w:t>A. Entity Management</w:t>
      </w:r>
    </w:p>
    <w:p>
      <w:pPr>
        <w:spacing w:after="120"/>
      </w:pPr>
      <w:r>
        <w:rPr>
          <w:rFonts w:ascii="Times New Roman" w:hAnsi="Times New Roman"/>
          <w:sz w:val="24"/>
        </w:rPr>
        <w:t>The Legal Department maintains a centralized record of all Company entities in SharePoint, including:</w:t>
      </w:r>
    </w:p>
    <w:p>
      <w:pPr>
        <w:pStyle w:val="ListBullet"/>
      </w:pPr>
      <w:r>
        <w:rPr>
          <w:rFonts w:ascii="Times New Roman" w:hAnsi="Times New Roman"/>
          <w:sz w:val="24"/>
        </w:rPr>
        <w:t>Legal entity names and jurisdictions of formation</w:t>
      </w:r>
    </w:p>
    <w:p>
      <w:pPr>
        <w:pStyle w:val="ListBullet"/>
      </w:pPr>
      <w:r>
        <w:rPr>
          <w:rFonts w:ascii="Times New Roman" w:hAnsi="Times New Roman"/>
          <w:sz w:val="24"/>
        </w:rPr>
        <w:t>Ownership structure and organizational charts</w:t>
      </w:r>
    </w:p>
    <w:p>
      <w:pPr>
        <w:pStyle w:val="ListBullet"/>
      </w:pPr>
      <w:r>
        <w:rPr>
          <w:rFonts w:ascii="Times New Roman" w:hAnsi="Times New Roman"/>
          <w:sz w:val="24"/>
        </w:rPr>
        <w:t>Governing documents (e.g., operating agreements, bylaws)</w:t>
      </w:r>
    </w:p>
    <w:p>
      <w:pPr>
        <w:pStyle w:val="ListBullet"/>
      </w:pPr>
      <w:r>
        <w:rPr>
          <w:rFonts w:ascii="Times New Roman" w:hAnsi="Times New Roman"/>
          <w:sz w:val="24"/>
        </w:rPr>
        <w:t>Registered agents and principal offices</w:t>
      </w:r>
    </w:p>
    <w:p>
      <w:pPr>
        <w:pStyle w:val="ListBullet"/>
      </w:pPr>
      <w:r>
        <w:rPr>
          <w:rFonts w:ascii="Times New Roman" w:hAnsi="Times New Roman"/>
          <w:sz w:val="24"/>
        </w:rPr>
        <w:t>Qualification and good standing status</w:t>
      </w:r>
    </w:p>
    <w:p>
      <w:pPr>
        <w:spacing w:after="120"/>
      </w:pPr>
      <w:r>
        <w:rPr>
          <w:rFonts w:ascii="Times New Roman" w:hAnsi="Times New Roman"/>
          <w:sz w:val="24"/>
        </w:rPr>
        <w:t>Legal is responsible for coordinating:</w:t>
      </w:r>
    </w:p>
    <w:p>
      <w:pPr>
        <w:pStyle w:val="ListBullet"/>
      </w:pPr>
      <w:r>
        <w:rPr>
          <w:rFonts w:ascii="Times New Roman" w:hAnsi="Times New Roman"/>
          <w:sz w:val="24"/>
        </w:rPr>
        <w:t>Entity formation and dissolution</w:t>
      </w:r>
    </w:p>
    <w:p>
      <w:pPr>
        <w:pStyle w:val="ListBullet"/>
      </w:pPr>
      <w:r>
        <w:rPr>
          <w:rFonts w:ascii="Times New Roman" w:hAnsi="Times New Roman"/>
          <w:sz w:val="24"/>
        </w:rPr>
        <w:t>Amendments to governing documents</w:t>
      </w:r>
    </w:p>
    <w:p>
      <w:pPr>
        <w:pStyle w:val="ListBullet"/>
      </w:pPr>
      <w:r>
        <w:rPr>
          <w:rFonts w:ascii="Times New Roman" w:hAnsi="Times New Roman"/>
          <w:sz w:val="24"/>
        </w:rPr>
        <w:t>Intercompany structuring changes</w:t>
      </w:r>
    </w:p>
    <w:p>
      <w:pPr>
        <w:spacing w:after="120"/>
      </w:pPr>
      <w:r>
        <w:rPr>
          <w:rFonts w:ascii="Times New Roman" w:hAnsi="Times New Roman"/>
          <w:sz w:val="24"/>
        </w:rPr>
        <w:t>Entity records must be reviewed and updated at least annually, or upon the occurrence of a material event (e.g., acquisition, disposition, financing, or restructuring). The Department maintains a master entity spreadsheet that serves as the primary reference for all entity-related inquiries.</w:t>
      </w:r>
    </w:p>
    <w:p>
      <w:pPr>
        <w:spacing w:before="360" w:after="200"/>
      </w:pPr>
      <w:r>
        <w:rPr>
          <w:rFonts w:ascii="Times New Roman" w:hAnsi="Times New Roman"/>
          <w:b/>
          <w:sz w:val="24"/>
          <w:u w:val="single"/>
        </w:rPr>
        <w:t>B. Governance Documentation</w:t>
      </w:r>
    </w:p>
    <w:p>
      <w:pPr>
        <w:spacing w:after="120"/>
      </w:pPr>
      <w:r>
        <w:rPr>
          <w:rFonts w:ascii="Times New Roman" w:hAnsi="Times New Roman"/>
          <w:sz w:val="24"/>
        </w:rPr>
        <w:t>The Legal Department maintains and organizes governance records, including:</w:t>
      </w:r>
    </w:p>
    <w:p>
      <w:pPr>
        <w:pStyle w:val="ListBullet"/>
      </w:pPr>
      <w:r>
        <w:rPr>
          <w:rFonts w:ascii="Times New Roman" w:hAnsi="Times New Roman"/>
          <w:sz w:val="24"/>
        </w:rPr>
        <w:t>Member and board approvals</w:t>
      </w:r>
    </w:p>
    <w:p>
      <w:pPr>
        <w:pStyle w:val="ListBullet"/>
      </w:pPr>
      <w:r>
        <w:rPr>
          <w:rFonts w:ascii="Times New Roman" w:hAnsi="Times New Roman"/>
          <w:sz w:val="24"/>
        </w:rPr>
        <w:t>Written consents and resolutions</w:t>
      </w:r>
    </w:p>
    <w:p>
      <w:pPr>
        <w:pStyle w:val="ListBullet"/>
      </w:pPr>
      <w:r>
        <w:rPr>
          <w:rFonts w:ascii="Times New Roman" w:hAnsi="Times New Roman"/>
          <w:sz w:val="24"/>
        </w:rPr>
        <w:t>Officer and manager appointments</w:t>
      </w:r>
    </w:p>
    <w:p>
      <w:pPr>
        <w:pStyle w:val="ListBullet"/>
      </w:pPr>
      <w:r>
        <w:rPr>
          <w:rFonts w:ascii="Times New Roman" w:hAnsi="Times New Roman"/>
          <w:sz w:val="24"/>
        </w:rPr>
        <w:t>Delegation of authority documentation</w:t>
      </w:r>
    </w:p>
    <w:p>
      <w:pPr>
        <w:spacing w:after="120"/>
      </w:pPr>
      <w:r>
        <w:rPr>
          <w:rFonts w:ascii="Times New Roman" w:hAnsi="Times New Roman"/>
          <w:sz w:val="24"/>
        </w:rPr>
        <w:t>All governance actions must be properly documented and retained in the Company’s document management system (SharePoint). The Department maintains a governance calendar to track recurring approval requirements, annual meeting obligations, and filing deadlines.</w:t>
      </w:r>
    </w:p>
    <w:p>
      <w:pPr>
        <w:spacing w:before="360" w:after="200"/>
      </w:pPr>
      <w:r>
        <w:rPr>
          <w:rFonts w:ascii="Times New Roman" w:hAnsi="Times New Roman"/>
          <w:b/>
          <w:sz w:val="24"/>
          <w:u w:val="single"/>
        </w:rPr>
        <w:t>C. Authority and Approvals</w:t>
      </w:r>
    </w:p>
    <w:p>
      <w:pPr>
        <w:spacing w:after="120"/>
      </w:pPr>
      <w:r>
        <w:rPr>
          <w:rFonts w:ascii="Times New Roman" w:hAnsi="Times New Roman"/>
          <w:sz w:val="24"/>
        </w:rPr>
        <w:t>The Legal Department supports the implementation and maintenance of the Company’s delegation of authority framework (see Attachment A: Delegation of Authority Matrix).</w:t>
      </w:r>
    </w:p>
    <w:p>
      <w:pPr>
        <w:spacing w:after="120"/>
      </w:pPr>
      <w:r>
        <w:rPr>
          <w:rFonts w:ascii="Times New Roman" w:hAnsi="Times New Roman"/>
          <w:sz w:val="24"/>
        </w:rPr>
        <w:t>Responsibilities include:</w:t>
      </w:r>
    </w:p>
    <w:p>
      <w:pPr>
        <w:pStyle w:val="ListBullet"/>
      </w:pPr>
      <w:r>
        <w:rPr>
          <w:rFonts w:ascii="Times New Roman" w:hAnsi="Times New Roman"/>
          <w:sz w:val="24"/>
        </w:rPr>
        <w:t>Confirming authority for execution of contracts and leases</w:t>
      </w:r>
    </w:p>
    <w:p>
      <w:pPr>
        <w:pStyle w:val="ListBullet"/>
      </w:pPr>
      <w:r>
        <w:rPr>
          <w:rFonts w:ascii="Times New Roman" w:hAnsi="Times New Roman"/>
          <w:sz w:val="24"/>
        </w:rPr>
        <w:t>Coordinating approvals for material transactions</w:t>
      </w:r>
    </w:p>
    <w:p>
      <w:pPr>
        <w:pStyle w:val="ListBullet"/>
      </w:pPr>
      <w:r>
        <w:rPr>
          <w:rFonts w:ascii="Times New Roman" w:hAnsi="Times New Roman"/>
          <w:sz w:val="24"/>
        </w:rPr>
        <w:t>Maintaining records of authorized signatories</w:t>
      </w:r>
    </w:p>
    <w:p>
      <w:pPr>
        <w:pStyle w:val="ListBullet"/>
      </w:pPr>
      <w:r>
        <w:rPr>
          <w:rFonts w:ascii="Times New Roman" w:hAnsi="Times New Roman"/>
          <w:sz w:val="24"/>
        </w:rPr>
        <w:t>Verifying that approval thresholds are followed prior to document execution</w:t>
      </w:r>
    </w:p>
    <w:p>
      <w:pPr>
        <w:spacing w:after="120"/>
      </w:pPr>
      <w:r>
        <w:rPr>
          <w:rFonts w:ascii="Times New Roman" w:hAnsi="Times New Roman"/>
          <w:sz w:val="24"/>
        </w:rPr>
        <w:t>The Department will circulate an updated list of authorized signatories to relevant departments no less than annually and upon any change in authorized personnel.</w:t>
      </w:r>
    </w:p>
    <w:p>
      <w:pPr>
        <w:spacing w:before="360" w:after="200"/>
      </w:pPr>
      <w:r>
        <w:rPr>
          <w:rFonts w:ascii="Times New Roman" w:hAnsi="Times New Roman"/>
          <w:b/>
          <w:sz w:val="24"/>
          <w:u w:val="single"/>
        </w:rPr>
        <w:t>D. Compliance and Filings</w:t>
      </w:r>
    </w:p>
    <w:p>
      <w:pPr>
        <w:spacing w:after="120"/>
      </w:pPr>
      <w:r>
        <w:rPr>
          <w:rFonts w:ascii="Times New Roman" w:hAnsi="Times New Roman"/>
          <w:sz w:val="24"/>
        </w:rPr>
        <w:t>The Legal Department coordinates with internal and external service providers to ensure:</w:t>
      </w:r>
    </w:p>
    <w:p>
      <w:pPr>
        <w:pStyle w:val="ListBullet"/>
      </w:pPr>
      <w:r>
        <w:rPr>
          <w:rFonts w:ascii="Times New Roman" w:hAnsi="Times New Roman"/>
          <w:sz w:val="24"/>
        </w:rPr>
        <w:t>Timely filing of annual reports and required state filings</w:t>
      </w:r>
    </w:p>
    <w:p>
      <w:pPr>
        <w:pStyle w:val="ListBullet"/>
      </w:pPr>
      <w:r>
        <w:rPr>
          <w:rFonts w:ascii="Times New Roman" w:hAnsi="Times New Roman"/>
          <w:sz w:val="24"/>
        </w:rPr>
        <w:t>Maintenance of good standing for all entities</w:t>
      </w:r>
    </w:p>
    <w:p>
      <w:pPr>
        <w:pStyle w:val="ListBullet"/>
      </w:pPr>
      <w:r>
        <w:rPr>
          <w:rFonts w:ascii="Times New Roman" w:hAnsi="Times New Roman"/>
          <w:sz w:val="24"/>
        </w:rPr>
        <w:t>Compliance with REIT-related legal requirements</w:t>
      </w:r>
    </w:p>
    <w:p>
      <w:pPr>
        <w:spacing w:after="120"/>
      </w:pPr>
      <w:r>
        <w:rPr>
          <w:rFonts w:ascii="Times New Roman" w:hAnsi="Times New Roman"/>
          <w:sz w:val="24"/>
        </w:rPr>
        <w:t>The Department utilizes an external registered agent service provider for state filings and good standing maintenance. The Department maintains a compliance calendar with all recurring filing deadlines, organized by entity and jurisdiction. Filing status is reviewed quarterly and reported to the CFO.</w:t>
      </w:r>
    </w:p>
    <w:p>
      <w:r>
        <w:br w:type="page"/>
      </w:r>
    </w:p>
    <w:p>
      <w:pPr>
        <w:spacing w:before="480" w:after="240"/>
      </w:pPr>
      <w:r>
        <w:rPr>
          <w:rFonts w:ascii="Times New Roman" w:hAnsi="Times New Roman"/>
          <w:b/>
          <w:sz w:val="24"/>
        </w:rPr>
        <w:t>8. CONFIDENTIALITY &amp; INFORMATION HANDLING</w:t>
      </w:r>
    </w:p>
    <w:p>
      <w:pPr>
        <w:spacing w:after="120"/>
      </w:pPr>
      <w:r>
        <w:rPr>
          <w:rFonts w:ascii="Times New Roman" w:hAnsi="Times New Roman"/>
          <w:sz w:val="24"/>
        </w:rPr>
        <w:t>The Legal Department handles sensitive and confidential information, including privileged communications, litigation materials, and proprietary business information. Proper handling of such information is critical to protecting the Company’s legal position and maintaining confidentiality obligations.</w:t>
      </w:r>
    </w:p>
    <w:p>
      <w:pPr>
        <w:spacing w:before="360" w:after="200"/>
      </w:pPr>
      <w:r>
        <w:rPr>
          <w:rFonts w:ascii="Times New Roman" w:hAnsi="Times New Roman"/>
          <w:b/>
          <w:sz w:val="24"/>
          <w:u w:val="single"/>
        </w:rPr>
        <w:t>A. Confidential Information</w:t>
      </w:r>
    </w:p>
    <w:p>
      <w:pPr>
        <w:spacing w:after="120"/>
      </w:pPr>
      <w:r>
        <w:rPr>
          <w:rFonts w:ascii="Times New Roman" w:hAnsi="Times New Roman"/>
          <w:sz w:val="24"/>
        </w:rPr>
        <w:t>Confidential information includes, but is not limited to:</w:t>
      </w:r>
    </w:p>
    <w:p>
      <w:pPr>
        <w:pStyle w:val="ListBullet"/>
      </w:pPr>
      <w:r>
        <w:rPr>
          <w:rFonts w:ascii="Times New Roman" w:hAnsi="Times New Roman"/>
          <w:sz w:val="24"/>
        </w:rPr>
        <w:t>Legal advice and attorney-client communications</w:t>
      </w:r>
    </w:p>
    <w:p>
      <w:pPr>
        <w:pStyle w:val="ListBullet"/>
      </w:pPr>
      <w:r>
        <w:rPr>
          <w:rFonts w:ascii="Times New Roman" w:hAnsi="Times New Roman"/>
          <w:sz w:val="24"/>
        </w:rPr>
        <w:t>Litigation strategy and work product</w:t>
      </w:r>
    </w:p>
    <w:p>
      <w:pPr>
        <w:pStyle w:val="ListBullet"/>
      </w:pPr>
      <w:r>
        <w:rPr>
          <w:rFonts w:ascii="Times New Roman" w:hAnsi="Times New Roman"/>
          <w:sz w:val="24"/>
        </w:rPr>
        <w:t>Tenant disputes and negotiations</w:t>
      </w:r>
    </w:p>
    <w:p>
      <w:pPr>
        <w:pStyle w:val="ListBullet"/>
      </w:pPr>
      <w:r>
        <w:rPr>
          <w:rFonts w:ascii="Times New Roman" w:hAnsi="Times New Roman"/>
          <w:sz w:val="24"/>
        </w:rPr>
        <w:t>Regulatory matters</w:t>
      </w:r>
    </w:p>
    <w:p>
      <w:pPr>
        <w:pStyle w:val="ListBullet"/>
      </w:pPr>
      <w:r>
        <w:rPr>
          <w:rFonts w:ascii="Times New Roman" w:hAnsi="Times New Roman"/>
          <w:sz w:val="24"/>
        </w:rPr>
        <w:t>Transaction-related information</w:t>
      </w:r>
    </w:p>
    <w:p>
      <w:pPr>
        <w:spacing w:before="360" w:after="200"/>
      </w:pPr>
      <w:r>
        <w:rPr>
          <w:rFonts w:ascii="Times New Roman" w:hAnsi="Times New Roman"/>
          <w:b/>
          <w:sz w:val="24"/>
          <w:u w:val="single"/>
        </w:rPr>
        <w:t>B. Attorney-Client Privilege</w:t>
      </w:r>
    </w:p>
    <w:p>
      <w:pPr>
        <w:spacing w:after="120"/>
      </w:pPr>
      <w:r>
        <w:rPr>
          <w:rFonts w:ascii="Times New Roman" w:hAnsi="Times New Roman"/>
          <w:sz w:val="24"/>
        </w:rPr>
        <w:t>Communications involving the Legal Department that are intended to provide or request legal advice may be protected by attorney-client privilege.</w:t>
      </w:r>
    </w:p>
    <w:p>
      <w:pPr>
        <w:spacing w:after="120"/>
      </w:pPr>
      <w:r>
        <w:rPr>
          <w:rFonts w:ascii="Times New Roman" w:hAnsi="Times New Roman"/>
          <w:sz w:val="24"/>
        </w:rPr>
        <w:t>Employees should:</w:t>
      </w:r>
    </w:p>
    <w:p>
      <w:pPr>
        <w:pStyle w:val="ListBullet"/>
      </w:pPr>
      <w:r>
        <w:rPr>
          <w:rFonts w:ascii="Times New Roman" w:hAnsi="Times New Roman"/>
          <w:sz w:val="24"/>
        </w:rPr>
        <w:t>Limit distribution of privileged communications</w:t>
      </w:r>
    </w:p>
    <w:p>
      <w:pPr>
        <w:pStyle w:val="ListBullet"/>
      </w:pPr>
      <w:r>
        <w:rPr>
          <w:rFonts w:ascii="Times New Roman" w:hAnsi="Times New Roman"/>
          <w:sz w:val="24"/>
        </w:rPr>
        <w:t>Avoid forwarding privileged emails outside the Company without Legal approval</w:t>
      </w:r>
    </w:p>
    <w:p>
      <w:pPr>
        <w:pStyle w:val="ListBullet"/>
      </w:pPr>
      <w:r>
        <w:rPr>
          <w:rFonts w:ascii="Times New Roman" w:hAnsi="Times New Roman"/>
          <w:sz w:val="24"/>
        </w:rPr>
        <w:t>Clearly label privileged communications where appropriate</w:t>
      </w:r>
    </w:p>
    <w:p>
      <w:pPr>
        <w:spacing w:after="120"/>
      </w:pPr>
      <w:r>
        <w:rPr>
          <w:rFonts w:ascii="Times New Roman" w:hAnsi="Times New Roman"/>
          <w:sz w:val="24"/>
        </w:rPr>
        <w:t>Privileged communications should be labeled with the following header: “PRIVILEGED AND CONFIDENTIAL – ATTORNEY-CLIENT COMMUNICATION.” The Department will periodically remind internal stakeholders of privilege preservation obligations through training and written guidance.</w:t>
      </w:r>
    </w:p>
    <w:p>
      <w:pPr>
        <w:spacing w:before="360" w:after="200"/>
      </w:pPr>
      <w:r>
        <w:rPr>
          <w:rFonts w:ascii="Times New Roman" w:hAnsi="Times New Roman"/>
          <w:b/>
          <w:sz w:val="24"/>
          <w:u w:val="single"/>
        </w:rPr>
        <w:t>C. Document Handling and Retention</w:t>
      </w:r>
    </w:p>
    <w:p>
      <w:pPr>
        <w:spacing w:after="120"/>
      </w:pPr>
      <w:r>
        <w:rPr>
          <w:rFonts w:ascii="Times New Roman" w:hAnsi="Times New Roman"/>
          <w:sz w:val="24"/>
        </w:rPr>
        <w:t>Legal documents should be stored in approved systems (e.g., SharePoint) and should not be stored locally or outside authorized platforms. Access to sensitive materials should be limited to individuals with a business need.</w:t>
      </w:r>
    </w:p>
    <w:p>
      <w:pPr>
        <w:spacing w:after="120"/>
      </w:pPr>
      <w:r>
        <w:rPr>
          <w:rFonts w:ascii="Times New Roman" w:hAnsi="Times New Roman"/>
          <w:sz w:val="24"/>
        </w:rPr>
        <w:t>The Department maintains a document retention schedule, organized by category:</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D9E2F3" w:val="clear"/>
          </w:tcPr>
          <w:p>
            <w:pPr>
              <w:jc w:val="center"/>
            </w:pPr>
            <w:r/>
            <w:r>
              <w:rPr>
                <w:rFonts w:ascii="Times New Roman" w:hAnsi="Times New Roman"/>
                <w:b/>
                <w:sz w:val="20"/>
              </w:rPr>
              <w:t>Document Category</w:t>
            </w:r>
          </w:p>
        </w:tc>
        <w:tc>
          <w:tcPr>
            <w:tcW w:type="dxa" w:w="3168"/>
            <w:shd w:fill="D9E2F3" w:val="clear"/>
          </w:tcPr>
          <w:p>
            <w:pPr>
              <w:jc w:val="center"/>
            </w:pPr>
            <w:r/>
            <w:r>
              <w:rPr>
                <w:rFonts w:ascii="Times New Roman" w:hAnsi="Times New Roman"/>
                <w:b/>
                <w:sz w:val="20"/>
              </w:rPr>
              <w:t>Retention Period</w:t>
            </w:r>
          </w:p>
        </w:tc>
        <w:tc>
          <w:tcPr>
            <w:tcW w:type="dxa" w:w="3024"/>
            <w:shd w:fill="D9E2F3" w:val="clear"/>
          </w:tcPr>
          <w:p>
            <w:pPr>
              <w:jc w:val="center"/>
            </w:pPr>
            <w:r/>
            <w:r>
              <w:rPr>
                <w:rFonts w:ascii="Times New Roman" w:hAnsi="Times New Roman"/>
                <w:b/>
                <w:sz w:val="20"/>
              </w:rPr>
              <w:t>Storage Location</w:t>
            </w:r>
          </w:p>
        </w:tc>
      </w:tr>
      <w:tr>
        <w:tc>
          <w:tcPr>
            <w:tcW w:type="dxa" w:w="3168"/>
          </w:tcPr>
          <w:p>
            <w:r/>
            <w:r>
              <w:rPr>
                <w:rFonts w:ascii="Times New Roman" w:hAnsi="Times New Roman"/>
                <w:sz w:val="20"/>
              </w:rPr>
              <w:t>Executed Leases</w:t>
            </w:r>
          </w:p>
        </w:tc>
        <w:tc>
          <w:tcPr>
            <w:tcW w:type="dxa" w:w="3168"/>
          </w:tcPr>
          <w:p>
            <w:r/>
            <w:r>
              <w:rPr>
                <w:rFonts w:ascii="Times New Roman" w:hAnsi="Times New Roman"/>
                <w:sz w:val="20"/>
              </w:rPr>
              <w:t>Life of lease + 7 years</w:t>
            </w:r>
          </w:p>
        </w:tc>
        <w:tc>
          <w:tcPr>
            <w:tcW w:type="dxa" w:w="3024"/>
          </w:tcPr>
          <w:p>
            <w:r/>
            <w:r>
              <w:rPr>
                <w:rFonts w:ascii="Times New Roman" w:hAnsi="Times New Roman"/>
                <w:sz w:val="20"/>
              </w:rPr>
              <w:t>ShareFile</w:t>
            </w:r>
          </w:p>
        </w:tc>
      </w:tr>
      <w:tr>
        <w:tc>
          <w:tcPr>
            <w:tcW w:type="dxa" w:w="3168"/>
          </w:tcPr>
          <w:p>
            <w:r/>
            <w:r>
              <w:rPr>
                <w:rFonts w:ascii="Times New Roman" w:hAnsi="Times New Roman"/>
                <w:sz w:val="20"/>
              </w:rPr>
              <w:t>Lease Drafts and Negotiations</w:t>
            </w:r>
          </w:p>
        </w:tc>
        <w:tc>
          <w:tcPr>
            <w:tcW w:type="dxa" w:w="3168"/>
          </w:tcPr>
          <w:p>
            <w:r/>
            <w:r>
              <w:rPr>
                <w:rFonts w:ascii="Times New Roman" w:hAnsi="Times New Roman"/>
                <w:sz w:val="20"/>
              </w:rPr>
              <w:t>Life of lease + 3 years</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Litigation Files</w:t>
            </w:r>
          </w:p>
        </w:tc>
        <w:tc>
          <w:tcPr>
            <w:tcW w:type="dxa" w:w="3168"/>
          </w:tcPr>
          <w:p>
            <w:r/>
            <w:r>
              <w:rPr>
                <w:rFonts w:ascii="Times New Roman" w:hAnsi="Times New Roman"/>
                <w:sz w:val="20"/>
              </w:rPr>
              <w:t>Resolution + 7 years</w:t>
            </w:r>
          </w:p>
        </w:tc>
        <w:tc>
          <w:tcPr>
            <w:tcW w:type="dxa" w:w="3024"/>
          </w:tcPr>
          <w:p>
            <w:r/>
            <w:r>
              <w:rPr>
                <w:rFonts w:ascii="Times New Roman" w:hAnsi="Times New Roman"/>
                <w:sz w:val="20"/>
              </w:rPr>
              <w:t>SharePoint / Outside Counsel</w:t>
            </w:r>
          </w:p>
        </w:tc>
      </w:tr>
      <w:tr>
        <w:tc>
          <w:tcPr>
            <w:tcW w:type="dxa" w:w="3168"/>
          </w:tcPr>
          <w:p>
            <w:r/>
            <w:r>
              <w:rPr>
                <w:rFonts w:ascii="Times New Roman" w:hAnsi="Times New Roman"/>
                <w:sz w:val="20"/>
              </w:rPr>
              <w:t>Corporate Governance Records</w:t>
            </w:r>
          </w:p>
        </w:tc>
        <w:tc>
          <w:tcPr>
            <w:tcW w:type="dxa" w:w="3168"/>
          </w:tcPr>
          <w:p>
            <w:r/>
            <w:r>
              <w:rPr>
                <w:rFonts w:ascii="Times New Roman" w:hAnsi="Times New Roman"/>
                <w:sz w:val="20"/>
              </w:rPr>
              <w:t>Permanent</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Outside Counsel Invoices</w:t>
            </w:r>
          </w:p>
        </w:tc>
        <w:tc>
          <w:tcPr>
            <w:tcW w:type="dxa" w:w="3168"/>
          </w:tcPr>
          <w:p>
            <w:r/>
            <w:r>
              <w:rPr>
                <w:rFonts w:ascii="Times New Roman" w:hAnsi="Times New Roman"/>
                <w:sz w:val="20"/>
              </w:rPr>
              <w:t>7 years</w:t>
            </w:r>
          </w:p>
        </w:tc>
        <w:tc>
          <w:tcPr>
            <w:tcW w:type="dxa" w:w="3024"/>
          </w:tcPr>
          <w:p>
            <w:r/>
            <w:r>
              <w:rPr>
                <w:rFonts w:ascii="Times New Roman" w:hAnsi="Times New Roman"/>
                <w:sz w:val="20"/>
              </w:rPr>
              <w:t>SharePoint / Finance</w:t>
            </w:r>
          </w:p>
        </w:tc>
      </w:tr>
      <w:tr>
        <w:tc>
          <w:tcPr>
            <w:tcW w:type="dxa" w:w="3168"/>
          </w:tcPr>
          <w:p>
            <w:r/>
            <w:r>
              <w:rPr>
                <w:rFonts w:ascii="Times New Roman" w:hAnsi="Times New Roman"/>
                <w:sz w:val="20"/>
              </w:rPr>
              <w:t>General Correspondence</w:t>
            </w:r>
          </w:p>
        </w:tc>
        <w:tc>
          <w:tcPr>
            <w:tcW w:type="dxa" w:w="3168"/>
          </w:tcPr>
          <w:p>
            <w:r/>
            <w:r>
              <w:rPr>
                <w:rFonts w:ascii="Times New Roman" w:hAnsi="Times New Roman"/>
                <w:sz w:val="20"/>
              </w:rPr>
              <w:t>3 years</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Regulatory Filings</w:t>
            </w:r>
          </w:p>
        </w:tc>
        <w:tc>
          <w:tcPr>
            <w:tcW w:type="dxa" w:w="3168"/>
          </w:tcPr>
          <w:p>
            <w:r/>
            <w:r>
              <w:rPr>
                <w:rFonts w:ascii="Times New Roman" w:hAnsi="Times New Roman"/>
                <w:sz w:val="20"/>
              </w:rPr>
              <w:t>Permanent</w:t>
            </w:r>
          </w:p>
        </w:tc>
        <w:tc>
          <w:tcPr>
            <w:tcW w:type="dxa" w:w="3024"/>
          </w:tcPr>
          <w:p>
            <w:r/>
            <w:r>
              <w:rPr>
                <w:rFonts w:ascii="Times New Roman" w:hAnsi="Times New Roman"/>
                <w:sz w:val="20"/>
              </w:rPr>
              <w:t>SharePoint</w:t>
            </w:r>
          </w:p>
        </w:tc>
      </w:tr>
    </w:tbl>
    <w:p/>
    <w:p>
      <w:pPr>
        <w:spacing w:before="360" w:after="200"/>
      </w:pPr>
      <w:r>
        <w:rPr>
          <w:rFonts w:ascii="Times New Roman" w:hAnsi="Times New Roman"/>
          <w:b/>
          <w:sz w:val="24"/>
          <w:u w:val="single"/>
        </w:rPr>
        <w:t>D. Litigation Hold Procedures</w:t>
      </w:r>
    </w:p>
    <w:p>
      <w:pPr>
        <w:spacing w:after="120"/>
      </w:pPr>
      <w:r>
        <w:rPr>
          <w:rFonts w:ascii="Times New Roman" w:hAnsi="Times New Roman"/>
          <w:sz w:val="24"/>
        </w:rPr>
        <w:t>Upon identification of a matter that may result in litigation or regulatory investigation, the Department will implement a litigation hold to preserve all potentially relevant documents and communications.</w:t>
      </w:r>
    </w:p>
    <w:p>
      <w:pPr>
        <w:spacing w:after="120"/>
      </w:pPr>
      <w:r>
        <w:rPr>
          <w:rFonts w:ascii="Times New Roman" w:hAnsi="Times New Roman"/>
          <w:sz w:val="24"/>
        </w:rPr>
        <w:t>Litigation hold procedures include:</w:t>
      </w:r>
    </w:p>
    <w:p>
      <w:pPr>
        <w:pStyle w:val="ListNumber"/>
      </w:pPr>
      <w:r>
        <w:rPr>
          <w:rFonts w:ascii="Times New Roman" w:hAnsi="Times New Roman"/>
          <w:sz w:val="24"/>
        </w:rPr>
        <w:t>The Department issues a written litigation hold notice to all relevant custodians, identifying the matter and the categories of documents to be preserved.</w:t>
      </w:r>
    </w:p>
    <w:p>
      <w:pPr>
        <w:pStyle w:val="ListNumber"/>
      </w:pPr>
      <w:r>
        <w:rPr>
          <w:rFonts w:ascii="Times New Roman" w:hAnsi="Times New Roman"/>
          <w:sz w:val="24"/>
        </w:rPr>
        <w:t>Custodians must acknowledge receipt of the hold notice in writing.</w:t>
      </w:r>
    </w:p>
    <w:p>
      <w:pPr>
        <w:pStyle w:val="ListNumber"/>
      </w:pPr>
      <w:r>
        <w:rPr>
          <w:rFonts w:ascii="Times New Roman" w:hAnsi="Times New Roman"/>
          <w:sz w:val="24"/>
        </w:rPr>
        <w:t>The Department coordinates with IT to suspend any automated deletion or archiving processes for documents within the scope of the hold.</w:t>
      </w:r>
    </w:p>
    <w:p>
      <w:pPr>
        <w:pStyle w:val="ListNumber"/>
      </w:pPr>
      <w:r>
        <w:rPr>
          <w:rFonts w:ascii="Times New Roman" w:hAnsi="Times New Roman"/>
          <w:sz w:val="24"/>
        </w:rPr>
        <w:t>The hold remains in effect until the Department issues a written release notice.</w:t>
      </w:r>
    </w:p>
    <w:p>
      <w:pPr>
        <w:pStyle w:val="ListNumber"/>
      </w:pPr>
      <w:r>
        <w:rPr>
          <w:rFonts w:ascii="Times New Roman" w:hAnsi="Times New Roman"/>
          <w:sz w:val="24"/>
        </w:rPr>
        <w:t>The Department maintains a log of all active and released litigation holds.</w:t>
      </w:r>
    </w:p>
    <w:p>
      <w:pPr>
        <w:spacing w:before="360" w:after="200"/>
      </w:pPr>
      <w:r>
        <w:rPr>
          <w:rFonts w:ascii="Times New Roman" w:hAnsi="Times New Roman"/>
          <w:b/>
          <w:sz w:val="24"/>
          <w:u w:val="single"/>
        </w:rPr>
        <w:t>E. External Communications</w:t>
      </w:r>
    </w:p>
    <w:p>
      <w:pPr>
        <w:spacing w:after="120"/>
      </w:pPr>
      <w:r>
        <w:rPr>
          <w:rFonts w:ascii="Times New Roman" w:hAnsi="Times New Roman"/>
          <w:sz w:val="24"/>
        </w:rPr>
        <w:t>Only authorized personnel may communicate with:</w:t>
      </w:r>
    </w:p>
    <w:p>
      <w:pPr>
        <w:pStyle w:val="ListBullet"/>
      </w:pPr>
      <w:r>
        <w:rPr>
          <w:rFonts w:ascii="Times New Roman" w:hAnsi="Times New Roman"/>
          <w:sz w:val="24"/>
        </w:rPr>
        <w:t>Outside counsel</w:t>
      </w:r>
    </w:p>
    <w:p>
      <w:pPr>
        <w:pStyle w:val="ListBullet"/>
      </w:pPr>
      <w:r>
        <w:rPr>
          <w:rFonts w:ascii="Times New Roman" w:hAnsi="Times New Roman"/>
          <w:sz w:val="24"/>
        </w:rPr>
        <w:t>Opposing counsel</w:t>
      </w:r>
    </w:p>
    <w:p>
      <w:pPr>
        <w:pStyle w:val="ListBullet"/>
      </w:pPr>
      <w:r>
        <w:rPr>
          <w:rFonts w:ascii="Times New Roman" w:hAnsi="Times New Roman"/>
          <w:sz w:val="24"/>
        </w:rPr>
        <w:t>Regulatory authorities</w:t>
      </w:r>
    </w:p>
    <w:p>
      <w:pPr>
        <w:spacing w:after="120"/>
      </w:pPr>
      <w:r>
        <w:rPr>
          <w:rFonts w:ascii="Times New Roman" w:hAnsi="Times New Roman"/>
          <w:sz w:val="24"/>
        </w:rPr>
        <w:t>All external legal communications should be coordinated through the Legal Department.</w:t>
      </w:r>
    </w:p>
    <w:p>
      <w:r>
        <w:br w:type="page"/>
      </w:r>
    </w:p>
    <w:p>
      <w:pPr>
        <w:spacing w:before="480" w:after="240"/>
      </w:pPr>
      <w:r>
        <w:rPr>
          <w:rFonts w:ascii="Times New Roman" w:hAnsi="Times New Roman"/>
          <w:b/>
          <w:sz w:val="24"/>
        </w:rPr>
        <w:t>9. COMMUNICATION &amp; ESCALATION PROTOCOLS</w:t>
      </w:r>
    </w:p>
    <w:p>
      <w:pPr>
        <w:spacing w:after="120"/>
      </w:pPr>
      <w:r>
        <w:rPr>
          <w:rFonts w:ascii="Times New Roman" w:hAnsi="Times New Roman"/>
          <w:sz w:val="24"/>
        </w:rPr>
        <w:t>Clear communication and timely escalation are essential to effective legal risk management. This section defines when and how matters should be escalated to the Legal Department and executive leadership.</w:t>
      </w:r>
    </w:p>
    <w:p>
      <w:pPr>
        <w:spacing w:before="360" w:after="200"/>
      </w:pPr>
      <w:r>
        <w:rPr>
          <w:rFonts w:ascii="Times New Roman" w:hAnsi="Times New Roman"/>
          <w:b/>
          <w:sz w:val="24"/>
          <w:u w:val="single"/>
        </w:rPr>
        <w:t>A. Routine Communication</w:t>
      </w:r>
    </w:p>
    <w:p>
      <w:pPr>
        <w:spacing w:after="120"/>
      </w:pPr>
      <w:r>
        <w:rPr>
          <w:rFonts w:ascii="Times New Roman" w:hAnsi="Times New Roman"/>
          <w:sz w:val="24"/>
        </w:rPr>
        <w:t>The Legal Department works collaboratively with:</w:t>
      </w:r>
    </w:p>
    <w:p>
      <w:pPr>
        <w:pStyle w:val="ListBullet"/>
      </w:pPr>
      <w:r>
        <w:rPr>
          <w:rFonts w:ascii="Times New Roman" w:hAnsi="Times New Roman"/>
          <w:sz w:val="24"/>
        </w:rPr>
        <w:t>Asset Management (leasing and tenant matters)</w:t>
      </w:r>
    </w:p>
    <w:p>
      <w:pPr>
        <w:pStyle w:val="ListBullet"/>
      </w:pPr>
      <w:r>
        <w:rPr>
          <w:rFonts w:ascii="Times New Roman" w:hAnsi="Times New Roman"/>
          <w:sz w:val="24"/>
        </w:rPr>
        <w:t>Property Management (operational issues and incidents)</w:t>
      </w:r>
    </w:p>
    <w:p>
      <w:pPr>
        <w:pStyle w:val="ListBullet"/>
      </w:pPr>
      <w:r>
        <w:rPr>
          <w:rFonts w:ascii="Times New Roman" w:hAnsi="Times New Roman"/>
          <w:sz w:val="24"/>
        </w:rPr>
        <w:t>Finance (reserves, transactions, governance)</w:t>
      </w:r>
    </w:p>
    <w:p>
      <w:pPr>
        <w:spacing w:after="120"/>
      </w:pPr>
      <w:r>
        <w:rPr>
          <w:rFonts w:ascii="Times New Roman" w:hAnsi="Times New Roman"/>
          <w:sz w:val="24"/>
        </w:rPr>
        <w:t>Standing interdepartmental meetings should be held at the following cadence: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D9E2F3" w:val="clear"/>
          </w:tcPr>
          <w:p>
            <w:pPr>
              <w:jc w:val="center"/>
            </w:pPr>
            <w:r/>
            <w:r>
              <w:rPr>
                <w:rFonts w:ascii="Times New Roman" w:hAnsi="Times New Roman"/>
                <w:b/>
                <w:sz w:val="20"/>
              </w:rPr>
              <w:t>Meeting</w:t>
            </w:r>
          </w:p>
        </w:tc>
        <w:tc>
          <w:tcPr>
            <w:tcW w:type="dxa" w:w="2160"/>
            <w:shd w:fill="D9E2F3" w:val="clear"/>
          </w:tcPr>
          <w:p>
            <w:pPr>
              <w:jc w:val="center"/>
            </w:pPr>
            <w:r/>
            <w:r>
              <w:rPr>
                <w:rFonts w:ascii="Times New Roman" w:hAnsi="Times New Roman"/>
                <w:b/>
                <w:sz w:val="20"/>
              </w:rPr>
              <w:t>Participants</w:t>
            </w:r>
          </w:p>
        </w:tc>
        <w:tc>
          <w:tcPr>
            <w:tcW w:type="dxa" w:w="1728"/>
            <w:shd w:fill="D9E2F3" w:val="clear"/>
          </w:tcPr>
          <w:p>
            <w:pPr>
              <w:jc w:val="center"/>
            </w:pPr>
            <w:r/>
            <w:r>
              <w:rPr>
                <w:rFonts w:ascii="Times New Roman" w:hAnsi="Times New Roman"/>
                <w:b/>
                <w:sz w:val="20"/>
              </w:rPr>
              <w:t>Frequency</w:t>
            </w:r>
          </w:p>
        </w:tc>
        <w:tc>
          <w:tcPr>
            <w:tcW w:type="dxa" w:w="3312"/>
            <w:shd w:fill="D9E2F3" w:val="clear"/>
          </w:tcPr>
          <w:p>
            <w:pPr>
              <w:jc w:val="center"/>
            </w:pPr>
            <w:r/>
            <w:r>
              <w:rPr>
                <w:rFonts w:ascii="Times New Roman" w:hAnsi="Times New Roman"/>
                <w:b/>
                <w:sz w:val="20"/>
              </w:rPr>
              <w:t>Purpose</w:t>
            </w:r>
          </w:p>
        </w:tc>
      </w:tr>
      <w:tr>
        <w:tc>
          <w:tcPr>
            <w:tcW w:type="dxa" w:w="2160"/>
          </w:tcPr>
          <w:p>
            <w:r/>
            <w:r>
              <w:rPr>
                <w:rFonts w:ascii="Times New Roman" w:hAnsi="Times New Roman"/>
                <w:sz w:val="20"/>
              </w:rPr>
              <w:t>Leasing Pipeline Review</w:t>
            </w:r>
          </w:p>
        </w:tc>
        <w:tc>
          <w:tcPr>
            <w:tcW w:type="dxa" w:w="2160"/>
          </w:tcPr>
          <w:p>
            <w:r/>
            <w:r>
              <w:rPr>
                <w:rFonts w:ascii="Times New Roman" w:hAnsi="Times New Roman"/>
                <w:sz w:val="20"/>
              </w:rPr>
              <w:t>Legal + Asset Mgmt</w:t>
            </w:r>
          </w:p>
        </w:tc>
        <w:tc>
          <w:tcPr>
            <w:tcW w:type="dxa" w:w="1728"/>
          </w:tcPr>
          <w:p>
            <w:r/>
            <w:r>
              <w:rPr>
                <w:rFonts w:ascii="Times New Roman" w:hAnsi="Times New Roman"/>
                <w:sz w:val="20"/>
              </w:rPr>
              <w:t>Weekly</w:t>
            </w:r>
          </w:p>
        </w:tc>
        <w:tc>
          <w:tcPr>
            <w:tcW w:type="dxa" w:w="3312"/>
          </w:tcPr>
          <w:p>
            <w:r/>
            <w:r>
              <w:rPr>
                <w:rFonts w:ascii="Times New Roman" w:hAnsi="Times New Roman"/>
                <w:sz w:val="20"/>
              </w:rPr>
              <w:t>Review pending lease requests, priority alignment</w:t>
            </w:r>
          </w:p>
        </w:tc>
      </w:tr>
      <w:tr>
        <w:tc>
          <w:tcPr>
            <w:tcW w:type="dxa" w:w="2160"/>
          </w:tcPr>
          <w:p>
            <w:r/>
            <w:r>
              <w:rPr>
                <w:rFonts w:ascii="Times New Roman" w:hAnsi="Times New Roman"/>
                <w:sz w:val="20"/>
              </w:rPr>
              <w:t>Litigation/Risk Update</w:t>
            </w:r>
          </w:p>
        </w:tc>
        <w:tc>
          <w:tcPr>
            <w:tcW w:type="dxa" w:w="2160"/>
          </w:tcPr>
          <w:p>
            <w:r/>
            <w:r>
              <w:rPr>
                <w:rFonts w:ascii="Times New Roman" w:hAnsi="Times New Roman"/>
                <w:sz w:val="20"/>
              </w:rPr>
              <w:t>Legal + Executive Leadership</w:t>
            </w:r>
          </w:p>
        </w:tc>
        <w:tc>
          <w:tcPr>
            <w:tcW w:type="dxa" w:w="1728"/>
          </w:tcPr>
          <w:p>
            <w:r/>
            <w:r>
              <w:rPr>
                <w:rFonts w:ascii="Times New Roman" w:hAnsi="Times New Roman"/>
                <w:sz w:val="20"/>
              </w:rPr>
              <w:t>Bi-weekly</w:t>
            </w:r>
          </w:p>
        </w:tc>
        <w:tc>
          <w:tcPr>
            <w:tcW w:type="dxa" w:w="3312"/>
          </w:tcPr>
          <w:p>
            <w:r/>
            <w:r>
              <w:rPr>
                <w:rFonts w:ascii="Times New Roman" w:hAnsi="Times New Roman"/>
                <w:sz w:val="20"/>
              </w:rPr>
              <w:t>Active matters, exposure, strategic decisions</w:t>
            </w:r>
          </w:p>
        </w:tc>
      </w:tr>
      <w:tr>
        <w:tc>
          <w:tcPr>
            <w:tcW w:type="dxa" w:w="2160"/>
          </w:tcPr>
          <w:p>
            <w:r/>
            <w:r>
              <w:rPr>
                <w:rFonts w:ascii="Times New Roman" w:hAnsi="Times New Roman"/>
                <w:sz w:val="20"/>
              </w:rPr>
              <w:t>Finance Coordination</w:t>
            </w:r>
          </w:p>
        </w:tc>
        <w:tc>
          <w:tcPr>
            <w:tcW w:type="dxa" w:w="2160"/>
          </w:tcPr>
          <w:p>
            <w:r/>
            <w:r>
              <w:rPr>
                <w:rFonts w:ascii="Times New Roman" w:hAnsi="Times New Roman"/>
                <w:sz w:val="20"/>
              </w:rPr>
              <w:t>Legal + Finance/CFO</w:t>
            </w:r>
          </w:p>
        </w:tc>
        <w:tc>
          <w:tcPr>
            <w:tcW w:type="dxa" w:w="1728"/>
          </w:tcPr>
          <w:p>
            <w:r/>
            <w:r>
              <w:rPr>
                <w:rFonts w:ascii="Times New Roman" w:hAnsi="Times New Roman"/>
                <w:sz w:val="20"/>
              </w:rPr>
              <w:t>Monthly</w:t>
            </w:r>
          </w:p>
        </w:tc>
        <w:tc>
          <w:tcPr>
            <w:tcW w:type="dxa" w:w="3312"/>
          </w:tcPr>
          <w:p>
            <w:r/>
            <w:r>
              <w:rPr>
                <w:rFonts w:ascii="Times New Roman" w:hAnsi="Times New Roman"/>
                <w:sz w:val="20"/>
              </w:rPr>
              <w:t>Reserves, legal spend, governance filings</w:t>
            </w:r>
          </w:p>
        </w:tc>
      </w:tr>
      <w:tr>
        <w:tc>
          <w:tcPr>
            <w:tcW w:type="dxa" w:w="2160"/>
          </w:tcPr>
          <w:p>
            <w:r/>
            <w:r>
              <w:rPr>
                <w:rFonts w:ascii="Times New Roman" w:hAnsi="Times New Roman"/>
                <w:sz w:val="20"/>
              </w:rPr>
              <w:t>Property Ops Sync</w:t>
            </w:r>
          </w:p>
        </w:tc>
        <w:tc>
          <w:tcPr>
            <w:tcW w:type="dxa" w:w="2160"/>
          </w:tcPr>
          <w:p>
            <w:r/>
            <w:r>
              <w:rPr>
                <w:rFonts w:ascii="Times New Roman" w:hAnsi="Times New Roman"/>
                <w:sz w:val="20"/>
              </w:rPr>
              <w:t>Legal + Property Mgmt</w:t>
            </w:r>
          </w:p>
        </w:tc>
        <w:tc>
          <w:tcPr>
            <w:tcW w:type="dxa" w:w="1728"/>
          </w:tcPr>
          <w:p>
            <w:r/>
            <w:r>
              <w:rPr>
                <w:rFonts w:ascii="Times New Roman" w:hAnsi="Times New Roman"/>
                <w:sz w:val="20"/>
              </w:rPr>
              <w:t>As needed</w:t>
            </w:r>
          </w:p>
        </w:tc>
        <w:tc>
          <w:tcPr>
            <w:tcW w:type="dxa" w:w="3312"/>
          </w:tcPr>
          <w:p>
            <w:r/>
            <w:r>
              <w:rPr>
                <w:rFonts w:ascii="Times New Roman" w:hAnsi="Times New Roman"/>
                <w:sz w:val="20"/>
              </w:rPr>
              <w:t>Incidents, insurance claims, vendor disputes</w:t>
            </w:r>
          </w:p>
        </w:tc>
      </w:tr>
    </w:tbl>
    <w:p/>
    <w:p>
      <w:pPr>
        <w:spacing w:before="360" w:after="200"/>
      </w:pPr>
      <w:r>
        <w:rPr>
          <w:rFonts w:ascii="Times New Roman" w:hAnsi="Times New Roman"/>
          <w:b/>
          <w:sz w:val="24"/>
          <w:u w:val="single"/>
        </w:rPr>
        <w:t>B. Escalation Criteria</w:t>
      </w:r>
    </w:p>
    <w:p>
      <w:pPr>
        <w:spacing w:after="120"/>
      </w:pPr>
      <w:r>
        <w:rPr>
          <w:rFonts w:ascii="Times New Roman" w:hAnsi="Times New Roman"/>
          <w:sz w:val="24"/>
        </w:rPr>
        <w:t>Matters must be escalated to the Legal Department when they involve:</w:t>
      </w:r>
    </w:p>
    <w:p>
      <w:pPr>
        <w:pStyle w:val="ListBullet"/>
      </w:pPr>
      <w:r>
        <w:rPr>
          <w:rFonts w:ascii="Times New Roman" w:hAnsi="Times New Roman"/>
          <w:sz w:val="24"/>
        </w:rPr>
        <w:t>Potential or actual litigation</w:t>
      </w:r>
    </w:p>
    <w:p>
      <w:pPr>
        <w:pStyle w:val="ListBullet"/>
      </w:pPr>
      <w:r>
        <w:rPr>
          <w:rFonts w:ascii="Times New Roman" w:hAnsi="Times New Roman"/>
          <w:sz w:val="24"/>
        </w:rPr>
        <w:t>Tenant bankruptcy or insolvency</w:t>
      </w:r>
    </w:p>
    <w:p>
      <w:pPr>
        <w:pStyle w:val="ListBullet"/>
      </w:pPr>
      <w:r>
        <w:rPr>
          <w:rFonts w:ascii="Times New Roman" w:hAnsi="Times New Roman"/>
          <w:sz w:val="24"/>
        </w:rPr>
        <w:t>Material financial exposure</w:t>
      </w:r>
    </w:p>
    <w:p>
      <w:pPr>
        <w:pStyle w:val="ListBullet"/>
      </w:pPr>
      <w:r>
        <w:rPr>
          <w:rFonts w:ascii="Times New Roman" w:hAnsi="Times New Roman"/>
          <w:sz w:val="24"/>
        </w:rPr>
        <w:t>Regulatory or governmental inquiries</w:t>
      </w:r>
    </w:p>
    <w:p>
      <w:pPr>
        <w:pStyle w:val="ListBullet"/>
      </w:pPr>
      <w:r>
        <w:rPr>
          <w:rFonts w:ascii="Times New Roman" w:hAnsi="Times New Roman"/>
          <w:sz w:val="24"/>
        </w:rPr>
        <w:t>Significant personal injury or property damage</w:t>
      </w:r>
    </w:p>
    <w:p>
      <w:pPr>
        <w:pStyle w:val="ListBullet"/>
      </w:pPr>
      <w:r>
        <w:rPr>
          <w:rFonts w:ascii="Times New Roman" w:hAnsi="Times New Roman"/>
          <w:sz w:val="24"/>
        </w:rPr>
        <w:t>Disputes that may impact Company rights or obligations</w:t>
      </w:r>
    </w:p>
    <w:p>
      <w:pPr>
        <w:spacing w:before="360" w:after="200"/>
      </w:pPr>
      <w:r>
        <w:rPr>
          <w:rFonts w:ascii="Times New Roman" w:hAnsi="Times New Roman"/>
          <w:b/>
          <w:sz w:val="24"/>
          <w:u w:val="single"/>
        </w:rPr>
        <w:t>C. Escalation Timelines</w:t>
      </w:r>
    </w:p>
    <w:p>
      <w:pPr>
        <w:spacing w:after="120"/>
      </w:pPr>
      <w:r>
        <w:rPr>
          <w:rFonts w:ascii="Times New Roman" w:hAnsi="Times New Roman"/>
          <w:sz w:val="24"/>
        </w:rPr>
        <w:t>The following escalation timelines apply:</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D9E2F3" w:val="clear"/>
          </w:tcPr>
          <w:p>
            <w:pPr>
              <w:jc w:val="center"/>
            </w:pPr>
            <w:r/>
            <w:r>
              <w:rPr>
                <w:rFonts w:ascii="Times New Roman" w:hAnsi="Times New Roman"/>
                <w:b/>
                <w:sz w:val="20"/>
              </w:rPr>
              <w:t>Event Type</w:t>
            </w:r>
          </w:p>
        </w:tc>
        <w:tc>
          <w:tcPr>
            <w:tcW w:type="dxa" w:w="3168"/>
            <w:shd w:fill="D9E2F3" w:val="clear"/>
          </w:tcPr>
          <w:p>
            <w:pPr>
              <w:jc w:val="center"/>
            </w:pPr>
            <w:r/>
            <w:r>
              <w:rPr>
                <w:rFonts w:ascii="Times New Roman" w:hAnsi="Times New Roman"/>
                <w:b/>
                <w:sz w:val="20"/>
              </w:rPr>
              <w:t>Escalation Timeline</w:t>
            </w:r>
          </w:p>
        </w:tc>
        <w:tc>
          <w:tcPr>
            <w:tcW w:type="dxa" w:w="3024"/>
            <w:shd w:fill="D9E2F3" w:val="clear"/>
          </w:tcPr>
          <w:p>
            <w:pPr>
              <w:jc w:val="center"/>
            </w:pPr>
            <w:r/>
            <w:r>
              <w:rPr>
                <w:rFonts w:ascii="Times New Roman" w:hAnsi="Times New Roman"/>
                <w:b/>
                <w:sz w:val="20"/>
              </w:rPr>
              <w:t>Escalate To</w:t>
            </w:r>
          </w:p>
        </w:tc>
      </w:tr>
      <w:tr>
        <w:tc>
          <w:tcPr>
            <w:tcW w:type="dxa" w:w="3168"/>
          </w:tcPr>
          <w:p>
            <w:r/>
            <w:r>
              <w:rPr>
                <w:rFonts w:ascii="Times New Roman" w:hAnsi="Times New Roman"/>
                <w:sz w:val="20"/>
              </w:rPr>
              <w:t>Receipt of lawsuit or demand letter</w:t>
            </w:r>
          </w:p>
        </w:tc>
        <w:tc>
          <w:tcPr>
            <w:tcW w:type="dxa" w:w="3168"/>
          </w:tcPr>
          <w:p>
            <w:r/>
            <w:r>
              <w:rPr>
                <w:rFonts w:ascii="Times New Roman" w:hAnsi="Times New Roman"/>
                <w:sz w:val="20"/>
              </w:rPr>
              <w:t>Immediately (same business day)</w:t>
            </w:r>
          </w:p>
        </w:tc>
        <w:tc>
          <w:tcPr>
            <w:tcW w:type="dxa" w:w="3024"/>
          </w:tcPr>
          <w:p>
            <w:r/>
            <w:r>
              <w:rPr>
                <w:rFonts w:ascii="Times New Roman" w:hAnsi="Times New Roman"/>
                <w:sz w:val="20"/>
              </w:rPr>
              <w:t>General Counsel</w:t>
            </w:r>
          </w:p>
        </w:tc>
      </w:tr>
      <w:tr>
        <w:tc>
          <w:tcPr>
            <w:tcW w:type="dxa" w:w="3168"/>
          </w:tcPr>
          <w:p>
            <w:r/>
            <w:r>
              <w:rPr>
                <w:rFonts w:ascii="Times New Roman" w:hAnsi="Times New Roman"/>
                <w:sz w:val="20"/>
              </w:rPr>
              <w:t>Regulatory inquiry or subpoena</w:t>
            </w:r>
          </w:p>
        </w:tc>
        <w:tc>
          <w:tcPr>
            <w:tcW w:type="dxa" w:w="3168"/>
          </w:tcPr>
          <w:p>
            <w:r/>
            <w:r>
              <w:rPr>
                <w:rFonts w:ascii="Times New Roman" w:hAnsi="Times New Roman"/>
                <w:sz w:val="20"/>
              </w:rPr>
              <w:t>Immediately (same business day)</w:t>
            </w:r>
          </w:p>
        </w:tc>
        <w:tc>
          <w:tcPr>
            <w:tcW w:type="dxa" w:w="3024"/>
          </w:tcPr>
          <w:p>
            <w:r/>
            <w:r>
              <w:rPr>
                <w:rFonts w:ascii="Times New Roman" w:hAnsi="Times New Roman"/>
                <w:sz w:val="20"/>
              </w:rPr>
              <w:t>General Counsel + CEO</w:t>
            </w:r>
          </w:p>
        </w:tc>
      </w:tr>
      <w:tr>
        <w:tc>
          <w:tcPr>
            <w:tcW w:type="dxa" w:w="3168"/>
          </w:tcPr>
          <w:p>
            <w:r/>
            <w:r>
              <w:rPr>
                <w:rFonts w:ascii="Times New Roman" w:hAnsi="Times New Roman"/>
                <w:sz w:val="20"/>
              </w:rPr>
              <w:t>Tenant bankruptcy filing</w:t>
            </w:r>
          </w:p>
        </w:tc>
        <w:tc>
          <w:tcPr>
            <w:tcW w:type="dxa" w:w="3168"/>
          </w:tcPr>
          <w:p>
            <w:r/>
            <w:r>
              <w:rPr>
                <w:rFonts w:ascii="Times New Roman" w:hAnsi="Times New Roman"/>
                <w:sz w:val="20"/>
              </w:rPr>
              <w:t>Within 24 hours</w:t>
            </w:r>
          </w:p>
        </w:tc>
        <w:tc>
          <w:tcPr>
            <w:tcW w:type="dxa" w:w="3024"/>
          </w:tcPr>
          <w:p>
            <w:r/>
            <w:r>
              <w:rPr>
                <w:rFonts w:ascii="Times New Roman" w:hAnsi="Times New Roman"/>
                <w:sz w:val="20"/>
              </w:rPr>
              <w:t>General Counsel + Asset Mgmt Lead</w:t>
            </w:r>
          </w:p>
        </w:tc>
      </w:tr>
      <w:tr>
        <w:tc>
          <w:tcPr>
            <w:tcW w:type="dxa" w:w="3168"/>
          </w:tcPr>
          <w:p>
            <w:r/>
            <w:r>
              <w:rPr>
                <w:rFonts w:ascii="Times New Roman" w:hAnsi="Times New Roman"/>
                <w:sz w:val="20"/>
              </w:rPr>
              <w:t>Significant personal injury on property</w:t>
            </w:r>
          </w:p>
        </w:tc>
        <w:tc>
          <w:tcPr>
            <w:tcW w:type="dxa" w:w="3168"/>
          </w:tcPr>
          <w:p>
            <w:r/>
            <w:r>
              <w:rPr>
                <w:rFonts w:ascii="Times New Roman" w:hAnsi="Times New Roman"/>
                <w:sz w:val="20"/>
              </w:rPr>
              <w:t>Immediately</w:t>
            </w:r>
          </w:p>
        </w:tc>
        <w:tc>
          <w:tcPr>
            <w:tcW w:type="dxa" w:w="3024"/>
          </w:tcPr>
          <w:p>
            <w:r/>
            <w:r>
              <w:rPr>
                <w:rFonts w:ascii="Times New Roman" w:hAnsi="Times New Roman"/>
                <w:sz w:val="20"/>
              </w:rPr>
              <w:t>General Counsel + Property Mgmt Lead</w:t>
            </w:r>
          </w:p>
        </w:tc>
      </w:tr>
      <w:tr>
        <w:tc>
          <w:tcPr>
            <w:tcW w:type="dxa" w:w="3168"/>
          </w:tcPr>
          <w:p>
            <w:r/>
            <w:r>
              <w:rPr>
                <w:rFonts w:ascii="Times New Roman" w:hAnsi="Times New Roman"/>
                <w:sz w:val="20"/>
              </w:rPr>
              <w:t>Material financial exposure (&gt; $250,000)</w:t>
            </w:r>
          </w:p>
        </w:tc>
        <w:tc>
          <w:tcPr>
            <w:tcW w:type="dxa" w:w="3168"/>
          </w:tcPr>
          <w:p>
            <w:r/>
            <w:r>
              <w:rPr>
                <w:rFonts w:ascii="Times New Roman" w:hAnsi="Times New Roman"/>
                <w:sz w:val="20"/>
              </w:rPr>
              <w:t>Within 24 hours</w:t>
            </w:r>
          </w:p>
        </w:tc>
        <w:tc>
          <w:tcPr>
            <w:tcW w:type="dxa" w:w="3024"/>
          </w:tcPr>
          <w:p>
            <w:r/>
            <w:r>
              <w:rPr>
                <w:rFonts w:ascii="Times New Roman" w:hAnsi="Times New Roman"/>
                <w:sz w:val="20"/>
              </w:rPr>
              <w:t>General Counsel + CFO</w:t>
            </w:r>
          </w:p>
        </w:tc>
      </w:tr>
      <w:tr>
        <w:tc>
          <w:tcPr>
            <w:tcW w:type="dxa" w:w="3168"/>
          </w:tcPr>
          <w:p>
            <w:r/>
            <w:r>
              <w:rPr>
                <w:rFonts w:ascii="Times New Roman" w:hAnsi="Times New Roman"/>
                <w:sz w:val="20"/>
              </w:rPr>
              <w:t>Potential privilege waiver or breach</w:t>
            </w:r>
          </w:p>
        </w:tc>
        <w:tc>
          <w:tcPr>
            <w:tcW w:type="dxa" w:w="3168"/>
          </w:tcPr>
          <w:p>
            <w:r/>
            <w:r>
              <w:rPr>
                <w:rFonts w:ascii="Times New Roman" w:hAnsi="Times New Roman"/>
                <w:sz w:val="20"/>
              </w:rPr>
              <w:t>Immediately</w:t>
            </w:r>
          </w:p>
        </w:tc>
        <w:tc>
          <w:tcPr>
            <w:tcW w:type="dxa" w:w="3024"/>
          </w:tcPr>
          <w:p>
            <w:r/>
            <w:r>
              <w:rPr>
                <w:rFonts w:ascii="Times New Roman" w:hAnsi="Times New Roman"/>
                <w:sz w:val="20"/>
              </w:rPr>
              <w:t>General Counsel</w:t>
            </w:r>
          </w:p>
        </w:tc>
      </w:tr>
      <w:tr>
        <w:tc>
          <w:tcPr>
            <w:tcW w:type="dxa" w:w="3168"/>
          </w:tcPr>
          <w:p>
            <w:r/>
            <w:r>
              <w:rPr>
                <w:rFonts w:ascii="Times New Roman" w:hAnsi="Times New Roman"/>
                <w:sz w:val="20"/>
              </w:rPr>
              <w:t>Insurance coverage dispute</w:t>
            </w:r>
          </w:p>
        </w:tc>
        <w:tc>
          <w:tcPr>
            <w:tcW w:type="dxa" w:w="3168"/>
          </w:tcPr>
          <w:p>
            <w:r/>
            <w:r>
              <w:rPr>
                <w:rFonts w:ascii="Times New Roman" w:hAnsi="Times New Roman"/>
                <w:sz w:val="20"/>
              </w:rPr>
              <w:t>Within 48 hours</w:t>
            </w:r>
          </w:p>
        </w:tc>
        <w:tc>
          <w:tcPr>
            <w:tcW w:type="dxa" w:w="3024"/>
          </w:tcPr>
          <w:p>
            <w:r/>
            <w:r>
              <w:rPr>
                <w:rFonts w:ascii="Times New Roman" w:hAnsi="Times New Roman"/>
                <w:sz w:val="20"/>
              </w:rPr>
              <w:t>General Counsel + Asset Mgmt Lead</w:t>
            </w:r>
          </w:p>
        </w:tc>
      </w:tr>
    </w:tbl>
    <w:p/>
    <w:p>
      <w:pPr>
        <w:spacing w:before="360" w:after="200"/>
      </w:pPr>
      <w:r>
        <w:rPr>
          <w:rFonts w:ascii="Times New Roman" w:hAnsi="Times New Roman"/>
          <w:b/>
          <w:sz w:val="24"/>
          <w:u w:val="single"/>
        </w:rPr>
        <w:t>D. Executive Escalation</w:t>
      </w:r>
    </w:p>
    <w:p>
      <w:pPr>
        <w:spacing w:after="120"/>
      </w:pPr>
      <w:r>
        <w:rPr>
          <w:rFonts w:ascii="Times New Roman" w:hAnsi="Times New Roman"/>
          <w:sz w:val="24"/>
        </w:rPr>
        <w:t>The Legal Department escalates matters to executive leadership when they involve:</w:t>
      </w:r>
    </w:p>
    <w:p>
      <w:pPr>
        <w:pStyle w:val="ListBullet"/>
      </w:pPr>
      <w:r>
        <w:rPr>
          <w:rFonts w:ascii="Times New Roman" w:hAnsi="Times New Roman"/>
          <w:sz w:val="24"/>
        </w:rPr>
        <w:t>Significant financial exposure</w:t>
      </w:r>
    </w:p>
    <w:p>
      <w:pPr>
        <w:pStyle w:val="ListBullet"/>
      </w:pPr>
      <w:r>
        <w:rPr>
          <w:rFonts w:ascii="Times New Roman" w:hAnsi="Times New Roman"/>
          <w:sz w:val="24"/>
        </w:rPr>
        <w:t>Reputational risk</w:t>
      </w:r>
    </w:p>
    <w:p>
      <w:pPr>
        <w:pStyle w:val="ListBullet"/>
      </w:pPr>
      <w:r>
        <w:rPr>
          <w:rFonts w:ascii="Times New Roman" w:hAnsi="Times New Roman"/>
          <w:sz w:val="24"/>
        </w:rPr>
        <w:t>Portfolio-wide implications</w:t>
      </w:r>
    </w:p>
    <w:p>
      <w:pPr>
        <w:pStyle w:val="ListBullet"/>
      </w:pPr>
      <w:r>
        <w:rPr>
          <w:rFonts w:ascii="Times New Roman" w:hAnsi="Times New Roman"/>
          <w:sz w:val="24"/>
        </w:rPr>
        <w:t>Strategic business impact</w:t>
      </w:r>
    </w:p>
    <w:p>
      <w:pPr>
        <w:spacing w:after="120"/>
      </w:pPr>
      <w:r>
        <w:rPr>
          <w:rFonts w:ascii="Times New Roman" w:hAnsi="Times New Roman"/>
          <w:sz w:val="24"/>
        </w:rPr>
        <w:t>Executive escalation should include a written summary of the matter, current status, recommended course of action, and estimated financial impact. The Department will prepare escalation memoranda using a standardized format to ensure consistency.</w:t>
      </w:r>
    </w:p>
    <w:p>
      <w:pPr>
        <w:spacing w:before="360" w:after="200"/>
      </w:pPr>
      <w:r>
        <w:rPr>
          <w:rFonts w:ascii="Times New Roman" w:hAnsi="Times New Roman"/>
          <w:b/>
          <w:sz w:val="24"/>
          <w:u w:val="single"/>
        </w:rPr>
        <w:t>E. Legal Updates and Reporting</w:t>
      </w:r>
    </w:p>
    <w:p>
      <w:pPr>
        <w:spacing w:after="120"/>
      </w:pPr>
      <w:r>
        <w:rPr>
          <w:rFonts w:ascii="Times New Roman" w:hAnsi="Times New Roman"/>
          <w:sz w:val="24"/>
        </w:rPr>
        <w:t>The Legal Department provides periodic updates to executive leadership, including:</w:t>
      </w:r>
    </w:p>
    <w:p>
      <w:pPr>
        <w:pStyle w:val="ListBullet"/>
      </w:pPr>
      <w:r>
        <w:rPr>
          <w:rFonts w:ascii="Times New Roman" w:hAnsi="Times New Roman"/>
          <w:sz w:val="24"/>
        </w:rPr>
        <w:t>Status of significant matters</w:t>
      </w:r>
    </w:p>
    <w:p>
      <w:pPr>
        <w:pStyle w:val="ListBullet"/>
      </w:pPr>
      <w:r>
        <w:rPr>
          <w:rFonts w:ascii="Times New Roman" w:hAnsi="Times New Roman"/>
          <w:sz w:val="24"/>
        </w:rPr>
        <w:t>Litigation exposure</w:t>
      </w:r>
    </w:p>
    <w:p>
      <w:pPr>
        <w:pStyle w:val="ListBullet"/>
      </w:pPr>
      <w:r>
        <w:rPr>
          <w:rFonts w:ascii="Times New Roman" w:hAnsi="Times New Roman"/>
          <w:sz w:val="24"/>
        </w:rPr>
        <w:t>Key risks and developments</w:t>
      </w:r>
    </w:p>
    <w:p>
      <w:pPr>
        <w:spacing w:after="120"/>
      </w:pPr>
      <w:r>
        <w:rPr>
          <w:rFonts w:ascii="Times New Roman" w:hAnsi="Times New Roman"/>
          <w:sz w:val="24"/>
        </w:rPr>
        <w:t>The Legal Risk Tracker and Legal Risk Dashboard (see Section 10 and Attachment B) are used as primary tools for these updates.</w:t>
      </w:r>
    </w:p>
    <w:p>
      <w:r>
        <w:br w:type="page"/>
      </w:r>
    </w:p>
    <w:p>
      <w:pPr>
        <w:spacing w:before="480" w:after="240"/>
      </w:pPr>
      <w:r>
        <w:rPr>
          <w:rFonts w:ascii="Times New Roman" w:hAnsi="Times New Roman"/>
          <w:b/>
          <w:sz w:val="24"/>
        </w:rPr>
        <w:t>10. LEGAL RISK TRACKING &amp; REPORTING</w:t>
      </w:r>
    </w:p>
    <w:p>
      <w:pPr>
        <w:spacing w:after="120"/>
      </w:pPr>
      <w:r>
        <w:rPr>
          <w:rFonts w:ascii="Times New Roman" w:hAnsi="Times New Roman"/>
          <w:sz w:val="24"/>
        </w:rPr>
        <w:t>The Legal Department maintains a Legal Risk Tracker to provide visibility into legal matters affecting the Company’s portfolio.</w:t>
      </w:r>
    </w:p>
    <w:p>
      <w:pPr>
        <w:spacing w:after="120"/>
      </w:pPr>
      <w:r>
        <w:rPr>
          <w:rFonts w:ascii="Times New Roman" w:hAnsi="Times New Roman"/>
          <w:sz w:val="24"/>
        </w:rPr>
        <w:t>The tracker serves as a centralized tool for:</w:t>
      </w:r>
    </w:p>
    <w:p>
      <w:pPr>
        <w:pStyle w:val="ListBullet"/>
      </w:pPr>
      <w:r>
        <w:rPr>
          <w:rFonts w:ascii="Times New Roman" w:hAnsi="Times New Roman"/>
          <w:sz w:val="24"/>
        </w:rPr>
        <w:t>Monitoring litigation and disputes</w:t>
      </w:r>
    </w:p>
    <w:p>
      <w:pPr>
        <w:pStyle w:val="ListBullet"/>
      </w:pPr>
      <w:r>
        <w:rPr>
          <w:rFonts w:ascii="Times New Roman" w:hAnsi="Times New Roman"/>
          <w:sz w:val="24"/>
        </w:rPr>
        <w:t>Tracking tenant defaults and risk exposure</w:t>
      </w:r>
    </w:p>
    <w:p>
      <w:pPr>
        <w:pStyle w:val="ListBullet"/>
      </w:pPr>
      <w:r>
        <w:rPr>
          <w:rFonts w:ascii="Times New Roman" w:hAnsi="Times New Roman"/>
          <w:sz w:val="24"/>
        </w:rPr>
        <w:t>Identifying trends and recurring issues</w:t>
      </w:r>
    </w:p>
    <w:p>
      <w:pPr>
        <w:pStyle w:val="ListBullet"/>
      </w:pPr>
      <w:r>
        <w:rPr>
          <w:rFonts w:ascii="Times New Roman" w:hAnsi="Times New Roman"/>
          <w:sz w:val="24"/>
        </w:rPr>
        <w:t>Supporting executive decision-making</w:t>
      </w:r>
    </w:p>
    <w:p>
      <w:pPr>
        <w:spacing w:before="360" w:after="200"/>
      </w:pPr>
      <w:r>
        <w:rPr>
          <w:rFonts w:ascii="Times New Roman" w:hAnsi="Times New Roman"/>
          <w:b/>
          <w:sz w:val="24"/>
          <w:u w:val="single"/>
        </w:rPr>
        <w:t>A. Risk Categories</w:t>
      </w:r>
    </w:p>
    <w:p>
      <w:pPr>
        <w:spacing w:after="120"/>
      </w:pPr>
      <w:r>
        <w:rPr>
          <w:rFonts w:ascii="Times New Roman" w:hAnsi="Times New Roman"/>
          <w:sz w:val="24"/>
        </w:rPr>
        <w:t>Legal matters are categorized into:</w:t>
      </w:r>
    </w:p>
    <w:p>
      <w:pPr>
        <w:pStyle w:val="ListBullet"/>
      </w:pPr>
      <w:r>
        <w:rPr>
          <w:rFonts w:ascii="Times New Roman" w:hAnsi="Times New Roman"/>
          <w:sz w:val="24"/>
        </w:rPr>
        <w:t>Litigation</w:t>
      </w:r>
    </w:p>
    <w:p>
      <w:pPr>
        <w:pStyle w:val="ListBullet"/>
      </w:pPr>
      <w:r>
        <w:rPr>
          <w:rFonts w:ascii="Times New Roman" w:hAnsi="Times New Roman"/>
          <w:sz w:val="24"/>
        </w:rPr>
        <w:t>Tenant defaults</w:t>
      </w:r>
    </w:p>
    <w:p>
      <w:pPr>
        <w:pStyle w:val="ListBullet"/>
      </w:pPr>
      <w:r>
        <w:rPr>
          <w:rFonts w:ascii="Times New Roman" w:hAnsi="Times New Roman"/>
          <w:sz w:val="24"/>
        </w:rPr>
        <w:t>Bankruptcy</w:t>
      </w:r>
    </w:p>
    <w:p>
      <w:pPr>
        <w:pStyle w:val="ListBullet"/>
      </w:pPr>
      <w:r>
        <w:rPr>
          <w:rFonts w:ascii="Times New Roman" w:hAnsi="Times New Roman"/>
          <w:sz w:val="24"/>
        </w:rPr>
        <w:t>Insurance claims</w:t>
      </w:r>
    </w:p>
    <w:p>
      <w:pPr>
        <w:pStyle w:val="ListBullet"/>
      </w:pPr>
      <w:r>
        <w:rPr>
          <w:rFonts w:ascii="Times New Roman" w:hAnsi="Times New Roman"/>
          <w:sz w:val="24"/>
        </w:rPr>
        <w:t>Regulatory matters</w:t>
      </w:r>
    </w:p>
    <w:p>
      <w:pPr>
        <w:pStyle w:val="ListBullet"/>
      </w:pPr>
      <w:r>
        <w:rPr>
          <w:rFonts w:ascii="Times New Roman" w:hAnsi="Times New Roman"/>
          <w:sz w:val="24"/>
        </w:rPr>
        <w:t>Environmental issues</w:t>
      </w:r>
    </w:p>
    <w:p>
      <w:pPr>
        <w:spacing w:before="360" w:after="200"/>
      </w:pPr>
      <w:r>
        <w:rPr>
          <w:rFonts w:ascii="Times New Roman" w:hAnsi="Times New Roman"/>
          <w:b/>
          <w:sz w:val="24"/>
          <w:u w:val="single"/>
        </w:rPr>
        <w:t>B. Risk Assessment Methodology</w:t>
      </w:r>
    </w:p>
    <w:p>
      <w:pPr>
        <w:spacing w:after="120"/>
      </w:pPr>
      <w:r>
        <w:rPr>
          <w:rFonts w:ascii="Times New Roman" w:hAnsi="Times New Roman"/>
          <w:sz w:val="24"/>
        </w:rPr>
        <w:t>Each matter is evaluated based on a probability-impact framework:</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D9E2F3" w:val="clear"/>
          </w:tcPr>
          <w:p>
            <w:pPr>
              <w:jc w:val="center"/>
            </w:pPr>
            <w:r/>
            <w:r>
              <w:rPr>
                <w:rFonts w:ascii="Times New Roman" w:hAnsi="Times New Roman"/>
                <w:b/>
                <w:sz w:val="20"/>
              </w:rPr>
              <w:t>Rating</w:t>
            </w:r>
          </w:p>
        </w:tc>
        <w:tc>
          <w:tcPr>
            <w:tcW w:type="dxa" w:w="3168"/>
            <w:shd w:fill="D9E2F3" w:val="clear"/>
          </w:tcPr>
          <w:p>
            <w:pPr>
              <w:jc w:val="center"/>
            </w:pPr>
            <w:r/>
            <w:r>
              <w:rPr>
                <w:rFonts w:ascii="Times New Roman" w:hAnsi="Times New Roman"/>
                <w:b/>
                <w:sz w:val="20"/>
              </w:rPr>
              <w:t>Probability</w:t>
            </w:r>
          </w:p>
        </w:tc>
        <w:tc>
          <w:tcPr>
            <w:tcW w:type="dxa" w:w="3024"/>
            <w:shd w:fill="D9E2F3" w:val="clear"/>
          </w:tcPr>
          <w:p>
            <w:pPr>
              <w:jc w:val="center"/>
            </w:pPr>
            <w:r/>
            <w:r>
              <w:rPr>
                <w:rFonts w:ascii="Times New Roman" w:hAnsi="Times New Roman"/>
                <w:b/>
                <w:sz w:val="20"/>
              </w:rPr>
              <w:t>Financial Impact</w:t>
            </w:r>
          </w:p>
        </w:tc>
      </w:tr>
      <w:tr>
        <w:tc>
          <w:tcPr>
            <w:tcW w:type="dxa" w:w="3168"/>
          </w:tcPr>
          <w:p>
            <w:r/>
            <w:r>
              <w:rPr>
                <w:rFonts w:ascii="Times New Roman" w:hAnsi="Times New Roman"/>
                <w:sz w:val="20"/>
              </w:rPr>
              <w:t>High</w:t>
            </w:r>
          </w:p>
        </w:tc>
        <w:tc>
          <w:tcPr>
            <w:tcW w:type="dxa" w:w="3168"/>
          </w:tcPr>
          <w:p>
            <w:r/>
            <w:r>
              <w:rPr>
                <w:rFonts w:ascii="Times New Roman" w:hAnsi="Times New Roman"/>
                <w:sz w:val="20"/>
              </w:rPr>
              <w:t>Likely (&gt;70%)</w:t>
            </w:r>
          </w:p>
        </w:tc>
        <w:tc>
          <w:tcPr>
            <w:tcW w:type="dxa" w:w="3024"/>
          </w:tcPr>
          <w:p>
            <w:r/>
            <w:r>
              <w:rPr>
                <w:rFonts w:ascii="Times New Roman" w:hAnsi="Times New Roman"/>
                <w:sz w:val="20"/>
              </w:rPr>
              <w:t>&gt; $500,000</w:t>
            </w:r>
          </w:p>
        </w:tc>
      </w:tr>
      <w:tr>
        <w:tc>
          <w:tcPr>
            <w:tcW w:type="dxa" w:w="3168"/>
          </w:tcPr>
          <w:p>
            <w:r/>
            <w:r>
              <w:rPr>
                <w:rFonts w:ascii="Times New Roman" w:hAnsi="Times New Roman"/>
                <w:sz w:val="20"/>
              </w:rPr>
              <w:t>Medium</w:t>
            </w:r>
          </w:p>
        </w:tc>
        <w:tc>
          <w:tcPr>
            <w:tcW w:type="dxa" w:w="3168"/>
          </w:tcPr>
          <w:p>
            <w:r/>
            <w:r>
              <w:rPr>
                <w:rFonts w:ascii="Times New Roman" w:hAnsi="Times New Roman"/>
                <w:sz w:val="20"/>
              </w:rPr>
              <w:t>Possible (30–70%)</w:t>
            </w:r>
          </w:p>
        </w:tc>
        <w:tc>
          <w:tcPr>
            <w:tcW w:type="dxa" w:w="3024"/>
          </w:tcPr>
          <w:p>
            <w:r/>
            <w:r>
              <w:rPr>
                <w:rFonts w:ascii="Times New Roman" w:hAnsi="Times New Roman"/>
                <w:sz w:val="20"/>
              </w:rPr>
              <w:t>$100,000 – $500,000</w:t>
            </w:r>
          </w:p>
        </w:tc>
      </w:tr>
      <w:tr>
        <w:tc>
          <w:tcPr>
            <w:tcW w:type="dxa" w:w="3168"/>
          </w:tcPr>
          <w:p>
            <w:r/>
            <w:r>
              <w:rPr>
                <w:rFonts w:ascii="Times New Roman" w:hAnsi="Times New Roman"/>
                <w:sz w:val="20"/>
              </w:rPr>
              <w:t>Low</w:t>
            </w:r>
          </w:p>
        </w:tc>
        <w:tc>
          <w:tcPr>
            <w:tcW w:type="dxa" w:w="3168"/>
          </w:tcPr>
          <w:p>
            <w:r/>
            <w:r>
              <w:rPr>
                <w:rFonts w:ascii="Times New Roman" w:hAnsi="Times New Roman"/>
                <w:sz w:val="20"/>
              </w:rPr>
              <w:t>Unlikely (&lt;30%)</w:t>
            </w:r>
          </w:p>
        </w:tc>
        <w:tc>
          <w:tcPr>
            <w:tcW w:type="dxa" w:w="3024"/>
          </w:tcPr>
          <w:p>
            <w:r/>
            <w:r>
              <w:rPr>
                <w:rFonts w:ascii="Times New Roman" w:hAnsi="Times New Roman"/>
                <w:sz w:val="20"/>
              </w:rPr>
              <w:t>&lt; $100,000</w:t>
            </w:r>
          </w:p>
        </w:tc>
      </w:tr>
    </w:tbl>
    <w:p/>
    <w:p>
      <w:pPr>
        <w:spacing w:after="120"/>
      </w:pPr>
      <w:r>
        <w:rPr>
          <w:rFonts w:ascii="Times New Roman" w:hAnsi="Times New Roman"/>
          <w:sz w:val="24"/>
        </w:rPr>
        <w:t>Each matter also receives a qualitative assessment considering:</w:t>
      </w:r>
    </w:p>
    <w:p>
      <w:pPr>
        <w:pStyle w:val="ListBullet"/>
      </w:pPr>
      <w:r>
        <w:rPr>
          <w:rFonts w:ascii="Times New Roman" w:hAnsi="Times New Roman"/>
          <w:sz w:val="24"/>
        </w:rPr>
        <w:t>Strategic or precedent risk</w:t>
      </w:r>
    </w:p>
    <w:p>
      <w:pPr>
        <w:pStyle w:val="ListBullet"/>
      </w:pPr>
      <w:r>
        <w:rPr>
          <w:rFonts w:ascii="Times New Roman" w:hAnsi="Times New Roman"/>
          <w:sz w:val="24"/>
        </w:rPr>
        <w:t>Potential reputational impact</w:t>
      </w:r>
    </w:p>
    <w:p>
      <w:pPr>
        <w:pStyle w:val="ListBullet"/>
      </w:pPr>
      <w:r>
        <w:rPr>
          <w:rFonts w:ascii="Times New Roman" w:hAnsi="Times New Roman"/>
          <w:sz w:val="24"/>
        </w:rPr>
        <w:t>Insurance coverage availability</w:t>
      </w:r>
    </w:p>
    <w:p>
      <w:pPr>
        <w:pStyle w:val="ListBullet"/>
      </w:pPr>
      <w:r>
        <w:rPr>
          <w:rFonts w:ascii="Times New Roman" w:hAnsi="Times New Roman"/>
          <w:sz w:val="24"/>
        </w:rPr>
        <w:t>Strength of the Company’s legal position</w:t>
      </w:r>
    </w:p>
    <w:p>
      <w:pPr>
        <w:spacing w:after="120"/>
      </w:pPr>
      <w:r>
        <w:rPr>
          <w:rFonts w:ascii="Times New Roman" w:hAnsi="Times New Roman"/>
          <w:sz w:val="24"/>
        </w:rPr>
        <w:t>Risk ratings are reviewed and updated at each reporting cycle. Changes in risk rating must be documented with supporting rationale.</w:t>
      </w:r>
    </w:p>
    <w:p>
      <w:pPr>
        <w:spacing w:before="360" w:after="200"/>
      </w:pPr>
      <w:r>
        <w:rPr>
          <w:rFonts w:ascii="Times New Roman" w:hAnsi="Times New Roman"/>
          <w:b/>
          <w:sz w:val="24"/>
          <w:u w:val="single"/>
        </w:rPr>
        <w:t>C. Reporting Cadence</w:t>
      </w:r>
    </w:p>
    <w:p>
      <w:pPr>
        <w:spacing w:after="120"/>
      </w:pPr>
      <w:r>
        <w:rPr>
          <w:rFonts w:ascii="Times New Roman" w:hAnsi="Times New Roman"/>
          <w:sz w:val="24"/>
        </w:rPr>
        <w:t>The Legal Risk Tracker is updated on a regular basis:</w:t>
      </w:r>
    </w:p>
    <w:p>
      <w:pPr>
        <w:pStyle w:val="ListBullet"/>
      </w:pPr>
      <w:r>
        <w:rPr>
          <w:rFonts w:ascii="Times New Roman" w:hAnsi="Times New Roman"/>
          <w:sz w:val="24"/>
        </w:rPr>
        <w:t>High priority matters: weekly</w:t>
      </w:r>
    </w:p>
    <w:p>
      <w:pPr>
        <w:pStyle w:val="ListBullet"/>
      </w:pPr>
      <w:r>
        <w:rPr>
          <w:rFonts w:ascii="Times New Roman" w:hAnsi="Times New Roman"/>
          <w:sz w:val="24"/>
        </w:rPr>
        <w:t>Medium priority matters: monthly</w:t>
      </w:r>
    </w:p>
    <w:p>
      <w:pPr>
        <w:pStyle w:val="ListBullet"/>
      </w:pPr>
      <w:r>
        <w:rPr>
          <w:rFonts w:ascii="Times New Roman" w:hAnsi="Times New Roman"/>
          <w:sz w:val="24"/>
        </w:rPr>
        <w:t>Low priority matters: quarterly</w:t>
      </w:r>
    </w:p>
    <w:p>
      <w:pPr>
        <w:spacing w:after="120"/>
      </w:pPr>
      <w:r>
        <w:rPr>
          <w:rFonts w:ascii="Times New Roman" w:hAnsi="Times New Roman"/>
          <w:sz w:val="24"/>
        </w:rPr>
        <w:t>Updated reports are shared with executive leadership in advance of scheduled legal update meetings. The Legal Risk Dashboard (Attachment B) is prepared monthly for the CFO and quarterly for board-level reporting.</w:t>
      </w:r>
    </w:p>
    <w:p>
      <w:pPr>
        <w:spacing w:before="360" w:after="200"/>
      </w:pPr>
      <w:r>
        <w:rPr>
          <w:rFonts w:ascii="Times New Roman" w:hAnsi="Times New Roman"/>
          <w:b/>
          <w:sz w:val="24"/>
          <w:u w:val="single"/>
        </w:rPr>
        <w:t>D. Integration with Reserve Analysis</w:t>
      </w:r>
    </w:p>
    <w:p>
      <w:pPr>
        <w:spacing w:after="120"/>
      </w:pPr>
      <w:r>
        <w:rPr>
          <w:rFonts w:ascii="Times New Roman" w:hAnsi="Times New Roman"/>
          <w:sz w:val="24"/>
        </w:rPr>
        <w:t>Risk data from the Legal Risk Tracker is used to inform the Company’s reserve analysis, prepared in coordination with Finance. The Department provides estimated exposure ranges for all active matters rated Medium or High, updated quarterly or upon any material change in circumstances.</w:t>
      </w:r>
    </w:p>
    <w:p>
      <w:pPr>
        <w:spacing w:before="360" w:after="200"/>
      </w:pPr>
      <w:r>
        <w:rPr>
          <w:rFonts w:ascii="Times New Roman" w:hAnsi="Times New Roman"/>
          <w:b/>
          <w:sz w:val="24"/>
          <w:u w:val="single"/>
        </w:rPr>
        <w:t>E. Use of Risk Data</w:t>
      </w:r>
    </w:p>
    <w:p>
      <w:pPr>
        <w:spacing w:after="120"/>
      </w:pPr>
      <w:r>
        <w:rPr>
          <w:rFonts w:ascii="Times New Roman" w:hAnsi="Times New Roman"/>
          <w:sz w:val="24"/>
        </w:rPr>
        <w:t>Risk data is used to:</w:t>
      </w:r>
    </w:p>
    <w:p>
      <w:pPr>
        <w:pStyle w:val="ListBullet"/>
      </w:pPr>
      <w:r>
        <w:rPr>
          <w:rFonts w:ascii="Times New Roman" w:hAnsi="Times New Roman"/>
          <w:sz w:val="24"/>
        </w:rPr>
        <w:t>Inform reserve decisions</w:t>
      </w:r>
    </w:p>
    <w:p>
      <w:pPr>
        <w:pStyle w:val="ListBullet"/>
      </w:pPr>
      <w:r>
        <w:rPr>
          <w:rFonts w:ascii="Times New Roman" w:hAnsi="Times New Roman"/>
          <w:sz w:val="24"/>
        </w:rPr>
        <w:t>Support strategic planning</w:t>
      </w:r>
    </w:p>
    <w:p>
      <w:pPr>
        <w:pStyle w:val="ListBullet"/>
      </w:pPr>
      <w:r>
        <w:rPr>
          <w:rFonts w:ascii="Times New Roman" w:hAnsi="Times New Roman"/>
          <w:sz w:val="24"/>
        </w:rPr>
        <w:t>Identify areas for risk mitigation</w:t>
      </w:r>
    </w:p>
    <w:p>
      <w:pPr>
        <w:pStyle w:val="ListBullet"/>
      </w:pPr>
      <w:r>
        <w:rPr>
          <w:rFonts w:ascii="Times New Roman" w:hAnsi="Times New Roman"/>
          <w:sz w:val="24"/>
        </w:rPr>
        <w:t>Improve lease documentation and processes</w:t>
      </w:r>
    </w:p>
    <w:p>
      <w:r>
        <w:br w:type="page"/>
      </w:r>
    </w:p>
    <w:p>
      <w:pPr>
        <w:spacing w:before="480" w:after="240"/>
      </w:pPr>
      <w:r>
        <w:rPr>
          <w:rFonts w:ascii="Times New Roman" w:hAnsi="Times New Roman"/>
          <w:b/>
          <w:sz w:val="24"/>
        </w:rPr>
        <w:t>11. TRAINING &amp; CONTINUOUS IMPROVEMENT</w:t>
      </w:r>
    </w:p>
    <w:p>
      <w:pPr>
        <w:spacing w:after="120"/>
      </w:pPr>
      <w:r>
        <w:rPr>
          <w:rFonts w:ascii="Times New Roman" w:hAnsi="Times New Roman"/>
          <w:sz w:val="24"/>
        </w:rPr>
        <w:t>The Legal Department supports ongoing training and development to improve collaboration, reduce risk, and enhance operational efficiency.</w:t>
      </w:r>
    </w:p>
    <w:p>
      <w:pPr>
        <w:spacing w:before="360" w:after="200"/>
      </w:pPr>
      <w:r>
        <w:rPr>
          <w:rFonts w:ascii="Times New Roman" w:hAnsi="Times New Roman"/>
          <w:b/>
          <w:sz w:val="24"/>
          <w:u w:val="single"/>
        </w:rPr>
        <w:t>A. Internal Training Program</w:t>
      </w:r>
    </w:p>
    <w:p>
      <w:pPr>
        <w:spacing w:after="120"/>
      </w:pPr>
      <w:r>
        <w:rPr>
          <w:rFonts w:ascii="Times New Roman" w:hAnsi="Times New Roman"/>
          <w:sz w:val="24"/>
        </w:rPr>
        <w:t>The Legal Department conducts training for internal stakeholders on the following schedule: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D9E2F3" w:val="clear"/>
          </w:tcPr>
          <w:p>
            <w:pPr>
              <w:jc w:val="center"/>
            </w:pPr>
            <w:r/>
            <w:r>
              <w:rPr>
                <w:rFonts w:ascii="Times New Roman" w:hAnsi="Times New Roman"/>
                <w:b/>
                <w:sz w:val="20"/>
              </w:rPr>
              <w:t>Audience</w:t>
            </w:r>
          </w:p>
        </w:tc>
        <w:tc>
          <w:tcPr>
            <w:tcW w:type="dxa" w:w="2160"/>
            <w:shd w:fill="D9E2F3" w:val="clear"/>
          </w:tcPr>
          <w:p>
            <w:pPr>
              <w:jc w:val="center"/>
            </w:pPr>
            <w:r/>
            <w:r>
              <w:rPr>
                <w:rFonts w:ascii="Times New Roman" w:hAnsi="Times New Roman"/>
                <w:b/>
                <w:sz w:val="20"/>
              </w:rPr>
              <w:t>Frequency</w:t>
            </w:r>
          </w:p>
        </w:tc>
        <w:tc>
          <w:tcPr>
            <w:tcW w:type="dxa" w:w="4608"/>
            <w:shd w:fill="D9E2F3" w:val="clear"/>
          </w:tcPr>
          <w:p>
            <w:pPr>
              <w:jc w:val="center"/>
            </w:pPr>
            <w:r/>
            <w:r>
              <w:rPr>
                <w:rFonts w:ascii="Times New Roman" w:hAnsi="Times New Roman"/>
                <w:b/>
                <w:sz w:val="20"/>
              </w:rPr>
              <w:t>Topics</w:t>
            </w:r>
          </w:p>
        </w:tc>
      </w:tr>
      <w:tr>
        <w:tc>
          <w:tcPr>
            <w:tcW w:type="dxa" w:w="2592"/>
          </w:tcPr>
          <w:p>
            <w:r/>
            <w:r>
              <w:rPr>
                <w:rFonts w:ascii="Times New Roman" w:hAnsi="Times New Roman"/>
                <w:sz w:val="20"/>
              </w:rPr>
              <w:t>Asset Management</w:t>
            </w:r>
          </w:p>
        </w:tc>
        <w:tc>
          <w:tcPr>
            <w:tcW w:type="dxa" w:w="2160"/>
          </w:tcPr>
          <w:p>
            <w:r/>
            <w:r>
              <w:rPr>
                <w:rFonts w:ascii="Times New Roman" w:hAnsi="Times New Roman"/>
                <w:sz w:val="20"/>
              </w:rPr>
              <w:t>Quarterly</w:t>
            </w:r>
          </w:p>
        </w:tc>
        <w:tc>
          <w:tcPr>
            <w:tcW w:type="dxa" w:w="4608"/>
          </w:tcPr>
          <w:p>
            <w:r/>
            <w:r>
              <w:rPr>
                <w:rFonts w:ascii="Times New Roman" w:hAnsi="Times New Roman"/>
                <w:sz w:val="20"/>
              </w:rPr>
              <w:t>Lease provisions, negotiation practices, document workflows</w:t>
            </w:r>
          </w:p>
        </w:tc>
      </w:tr>
      <w:tr>
        <w:tc>
          <w:tcPr>
            <w:tcW w:type="dxa" w:w="2592"/>
          </w:tcPr>
          <w:p>
            <w:r/>
            <w:r>
              <w:rPr>
                <w:rFonts w:ascii="Times New Roman" w:hAnsi="Times New Roman"/>
                <w:sz w:val="20"/>
              </w:rPr>
              <w:t>Property Management</w:t>
            </w:r>
          </w:p>
        </w:tc>
        <w:tc>
          <w:tcPr>
            <w:tcW w:type="dxa" w:w="2160"/>
          </w:tcPr>
          <w:p>
            <w:r/>
            <w:r>
              <w:rPr>
                <w:rFonts w:ascii="Times New Roman" w:hAnsi="Times New Roman"/>
                <w:sz w:val="20"/>
              </w:rPr>
              <w:t>Quarterly</w:t>
            </w:r>
          </w:p>
        </w:tc>
        <w:tc>
          <w:tcPr>
            <w:tcW w:type="dxa" w:w="4608"/>
          </w:tcPr>
          <w:p>
            <w:r/>
            <w:r>
              <w:rPr>
                <w:rFonts w:ascii="Times New Roman" w:hAnsi="Times New Roman"/>
                <w:sz w:val="20"/>
              </w:rPr>
              <w:t>Incident reporting, insurance claims, escalation procedures</w:t>
            </w:r>
          </w:p>
        </w:tc>
      </w:tr>
      <w:tr>
        <w:tc>
          <w:tcPr>
            <w:tcW w:type="dxa" w:w="2592"/>
          </w:tcPr>
          <w:p>
            <w:r/>
            <w:r>
              <w:rPr>
                <w:rFonts w:ascii="Times New Roman" w:hAnsi="Times New Roman"/>
                <w:sz w:val="20"/>
              </w:rPr>
              <w:t>Finance</w:t>
            </w:r>
          </w:p>
        </w:tc>
        <w:tc>
          <w:tcPr>
            <w:tcW w:type="dxa" w:w="2160"/>
          </w:tcPr>
          <w:p>
            <w:r/>
            <w:r>
              <w:rPr>
                <w:rFonts w:ascii="Times New Roman" w:hAnsi="Times New Roman"/>
                <w:sz w:val="20"/>
              </w:rPr>
              <w:t>Semi-annually</w:t>
            </w:r>
          </w:p>
        </w:tc>
        <w:tc>
          <w:tcPr>
            <w:tcW w:type="dxa" w:w="4608"/>
          </w:tcPr>
          <w:p>
            <w:r/>
            <w:r>
              <w:rPr>
                <w:rFonts w:ascii="Times New Roman" w:hAnsi="Times New Roman"/>
                <w:sz w:val="20"/>
              </w:rPr>
              <w:t>Legal risk reporting, reserve integration, governance processes</w:t>
            </w:r>
          </w:p>
        </w:tc>
      </w:tr>
      <w:tr>
        <w:tc>
          <w:tcPr>
            <w:tcW w:type="dxa" w:w="2592"/>
          </w:tcPr>
          <w:p>
            <w:r/>
            <w:r>
              <w:rPr>
                <w:rFonts w:ascii="Times New Roman" w:hAnsi="Times New Roman"/>
                <w:sz w:val="20"/>
              </w:rPr>
              <w:t>All Departments</w:t>
            </w:r>
          </w:p>
        </w:tc>
        <w:tc>
          <w:tcPr>
            <w:tcW w:type="dxa" w:w="2160"/>
          </w:tcPr>
          <w:p>
            <w:r/>
            <w:r>
              <w:rPr>
                <w:rFonts w:ascii="Times New Roman" w:hAnsi="Times New Roman"/>
                <w:sz w:val="20"/>
              </w:rPr>
              <w:t>Annually</w:t>
            </w:r>
          </w:p>
        </w:tc>
        <w:tc>
          <w:tcPr>
            <w:tcW w:type="dxa" w:w="4608"/>
          </w:tcPr>
          <w:p>
            <w:r/>
            <w:r>
              <w:rPr>
                <w:rFonts w:ascii="Times New Roman" w:hAnsi="Times New Roman"/>
                <w:sz w:val="20"/>
              </w:rPr>
              <w:t>Confidentiality obligations, privilege preservation, policy updates</w:t>
            </w:r>
          </w:p>
        </w:tc>
      </w:tr>
      <w:tr>
        <w:tc>
          <w:tcPr>
            <w:tcW w:type="dxa" w:w="2592"/>
          </w:tcPr>
          <w:p>
            <w:r/>
            <w:r>
              <w:rPr>
                <w:rFonts w:ascii="Times New Roman" w:hAnsi="Times New Roman"/>
                <w:sz w:val="20"/>
              </w:rPr>
              <w:t>New Hires (Legal)</w:t>
            </w:r>
          </w:p>
        </w:tc>
        <w:tc>
          <w:tcPr>
            <w:tcW w:type="dxa" w:w="2160"/>
          </w:tcPr>
          <w:p>
            <w:r/>
            <w:r>
              <w:rPr>
                <w:rFonts w:ascii="Times New Roman" w:hAnsi="Times New Roman"/>
                <w:sz w:val="20"/>
              </w:rPr>
              <w:t>Upon onboarding</w:t>
            </w:r>
          </w:p>
        </w:tc>
        <w:tc>
          <w:tcPr>
            <w:tcW w:type="dxa" w:w="4608"/>
          </w:tcPr>
          <w:p>
            <w:r/>
            <w:r>
              <w:rPr>
                <w:rFonts w:ascii="Times New Roman" w:hAnsi="Times New Roman"/>
                <w:sz w:val="20"/>
              </w:rPr>
              <w:t>Systems training, standard forms, naming conventions, workflows</w:t>
            </w:r>
          </w:p>
        </w:tc>
      </w:tr>
    </w:tbl>
    <w:p/>
    <w:p>
      <w:pPr>
        <w:spacing w:before="360" w:after="200"/>
      </w:pPr>
      <w:r>
        <w:rPr>
          <w:rFonts w:ascii="Times New Roman" w:hAnsi="Times New Roman"/>
          <w:b/>
          <w:sz w:val="24"/>
          <w:u w:val="single"/>
        </w:rPr>
        <w:t>B. New Hire Onboarding</w:t>
      </w:r>
    </w:p>
    <w:p>
      <w:pPr>
        <w:spacing w:after="120"/>
      </w:pPr>
      <w:r>
        <w:rPr>
          <w:rFonts w:ascii="Times New Roman" w:hAnsi="Times New Roman"/>
          <w:sz w:val="24"/>
        </w:rPr>
        <w:t>New Department personnel complete the following onboarding checklist:</w:t>
      </w:r>
    </w:p>
    <w:p>
      <w:pPr>
        <w:pStyle w:val="ListNumber"/>
      </w:pPr>
      <w:r>
        <w:rPr>
          <w:rFonts w:ascii="Times New Roman" w:hAnsi="Times New Roman"/>
          <w:sz w:val="24"/>
        </w:rPr>
        <w:t>Review of this Manual and all attachments</w:t>
      </w:r>
    </w:p>
    <w:p>
      <w:pPr>
        <w:pStyle w:val="ListNumber"/>
      </w:pPr>
      <w:r>
        <w:rPr>
          <w:rFonts w:ascii="Times New Roman" w:hAnsi="Times New Roman"/>
          <w:sz w:val="24"/>
        </w:rPr>
        <w:t>Overview of the Company’s entity structure and portfolio</w:t>
      </w:r>
    </w:p>
    <w:p>
      <w:pPr>
        <w:pStyle w:val="ListNumber"/>
      </w:pPr>
      <w:r>
        <w:rPr>
          <w:rFonts w:ascii="Times New Roman" w:hAnsi="Times New Roman"/>
          <w:sz w:val="24"/>
        </w:rPr>
        <w:t>Salesforce system training (intake, workflow, dashboard)</w:t>
      </w:r>
    </w:p>
    <w:p>
      <w:pPr>
        <w:pStyle w:val="ListNumber"/>
      </w:pPr>
      <w:r>
        <w:rPr>
          <w:rFonts w:ascii="Times New Roman" w:hAnsi="Times New Roman"/>
          <w:sz w:val="24"/>
        </w:rPr>
        <w:t>SharePoint training (document storage, collaboration, naming conventions)</w:t>
      </w:r>
    </w:p>
    <w:p>
      <w:pPr>
        <w:pStyle w:val="ListNumber"/>
      </w:pPr>
      <w:r>
        <w:rPr>
          <w:rFonts w:ascii="Times New Roman" w:hAnsi="Times New Roman"/>
          <w:sz w:val="24"/>
        </w:rPr>
        <w:t>Introduction to standard lease forms and key provisions</w:t>
      </w:r>
    </w:p>
    <w:p>
      <w:pPr>
        <w:pStyle w:val="ListNumber"/>
      </w:pPr>
      <w:r>
        <w:rPr>
          <w:rFonts w:ascii="Times New Roman" w:hAnsi="Times New Roman"/>
          <w:sz w:val="24"/>
        </w:rPr>
        <w:t>Review of active litigation and risk tracker</w:t>
      </w:r>
    </w:p>
    <w:p>
      <w:pPr>
        <w:pStyle w:val="ListNumber"/>
      </w:pPr>
      <w:r>
        <w:rPr>
          <w:rFonts w:ascii="Times New Roman" w:hAnsi="Times New Roman"/>
          <w:sz w:val="24"/>
        </w:rPr>
        <w:t>Introduction to outside counsel panel and billing guidelines</w:t>
      </w:r>
    </w:p>
    <w:p>
      <w:pPr>
        <w:pStyle w:val="ListNumber"/>
      </w:pPr>
      <w:r>
        <w:rPr>
          <w:rFonts w:ascii="Times New Roman" w:hAnsi="Times New Roman"/>
          <w:sz w:val="24"/>
        </w:rPr>
        <w:t>Review of confidentiality and privilege protocols</w:t>
      </w:r>
    </w:p>
    <w:p>
      <w:pPr>
        <w:spacing w:before="360" w:after="200"/>
      </w:pPr>
      <w:r>
        <w:rPr>
          <w:rFonts w:ascii="Times New Roman" w:hAnsi="Times New Roman"/>
          <w:b/>
          <w:sz w:val="24"/>
          <w:u w:val="single"/>
        </w:rPr>
        <w:t>C. Training Materials</w:t>
      </w:r>
    </w:p>
    <w:p>
      <w:pPr>
        <w:spacing w:after="120"/>
      </w:pPr>
      <w:r>
        <w:rPr>
          <w:rFonts w:ascii="Times New Roman" w:hAnsi="Times New Roman"/>
          <w:sz w:val="24"/>
        </w:rPr>
        <w:t>Training materials, including presentation decks, reference guides, and recorded sessions, are stored in a dedicated SharePoint folder maintained by the Department. Materials are updated as procedures, systems, or standard forms change.</w:t>
      </w:r>
    </w:p>
    <w:p>
      <w:pPr>
        <w:spacing w:before="360" w:after="200"/>
      </w:pPr>
      <w:r>
        <w:rPr>
          <w:rFonts w:ascii="Times New Roman" w:hAnsi="Times New Roman"/>
          <w:b/>
          <w:sz w:val="24"/>
          <w:u w:val="single"/>
        </w:rPr>
        <w:t>D. Legal Updates</w:t>
      </w:r>
    </w:p>
    <w:p>
      <w:pPr>
        <w:spacing w:after="120"/>
      </w:pPr>
      <w:r>
        <w:rPr>
          <w:rFonts w:ascii="Times New Roman" w:hAnsi="Times New Roman"/>
          <w:sz w:val="24"/>
        </w:rPr>
        <w:t>The Legal Department monitors legal and market developments and provides updates to internal stakeholders as appropriate. Updates may be distributed via email memoranda, incorporated into training sessions, or presented at standing interdepartmental meetings.</w:t>
      </w:r>
    </w:p>
    <w:p>
      <w:pPr>
        <w:spacing w:before="360" w:after="200"/>
      </w:pPr>
      <w:r>
        <w:rPr>
          <w:rFonts w:ascii="Times New Roman" w:hAnsi="Times New Roman"/>
          <w:b/>
          <w:sz w:val="24"/>
          <w:u w:val="single"/>
        </w:rPr>
        <w:t>E. Continuous Improvement</w:t>
      </w:r>
    </w:p>
    <w:p>
      <w:pPr>
        <w:spacing w:after="120"/>
      </w:pPr>
      <w:r>
        <w:rPr>
          <w:rFonts w:ascii="Times New Roman" w:hAnsi="Times New Roman"/>
          <w:sz w:val="24"/>
        </w:rPr>
        <w:t>The Legal Department regularly reviews:</w:t>
      </w:r>
    </w:p>
    <w:p>
      <w:pPr>
        <w:pStyle w:val="ListBullet"/>
      </w:pPr>
      <w:r>
        <w:rPr>
          <w:rFonts w:ascii="Times New Roman" w:hAnsi="Times New Roman"/>
          <w:sz w:val="24"/>
        </w:rPr>
        <w:t>Leasing processes</w:t>
      </w:r>
    </w:p>
    <w:p>
      <w:pPr>
        <w:pStyle w:val="ListBullet"/>
      </w:pPr>
      <w:r>
        <w:rPr>
          <w:rFonts w:ascii="Times New Roman" w:hAnsi="Times New Roman"/>
          <w:sz w:val="24"/>
        </w:rPr>
        <w:t>Litigation outcomes</w:t>
      </w:r>
    </w:p>
    <w:p>
      <w:pPr>
        <w:pStyle w:val="ListBullet"/>
      </w:pPr>
      <w:r>
        <w:rPr>
          <w:rFonts w:ascii="Times New Roman" w:hAnsi="Times New Roman"/>
          <w:sz w:val="24"/>
        </w:rPr>
        <w:t>Recurring issues</w:t>
      </w:r>
    </w:p>
    <w:p>
      <w:pPr>
        <w:spacing w:after="120"/>
      </w:pPr>
      <w:r>
        <w:rPr>
          <w:rFonts w:ascii="Times New Roman" w:hAnsi="Times New Roman"/>
          <w:sz w:val="24"/>
        </w:rPr>
        <w:t>To identify opportunities to:</w:t>
      </w:r>
    </w:p>
    <w:p>
      <w:pPr>
        <w:pStyle w:val="ListBullet"/>
      </w:pPr>
      <w:r>
        <w:rPr>
          <w:rFonts w:ascii="Times New Roman" w:hAnsi="Times New Roman"/>
          <w:sz w:val="24"/>
        </w:rPr>
        <w:t>Improve standard lease forms</w:t>
      </w:r>
    </w:p>
    <w:p>
      <w:pPr>
        <w:pStyle w:val="ListBullet"/>
      </w:pPr>
      <w:r>
        <w:rPr>
          <w:rFonts w:ascii="Times New Roman" w:hAnsi="Times New Roman"/>
          <w:sz w:val="24"/>
        </w:rPr>
        <w:t>Streamline workflows</w:t>
      </w:r>
    </w:p>
    <w:p>
      <w:pPr>
        <w:pStyle w:val="ListBullet"/>
      </w:pPr>
      <w:r>
        <w:rPr>
          <w:rFonts w:ascii="Times New Roman" w:hAnsi="Times New Roman"/>
          <w:sz w:val="24"/>
        </w:rPr>
        <w:t>Reduce legal exposure</w:t>
      </w:r>
    </w:p>
    <w:p>
      <w:pPr>
        <w:spacing w:after="120"/>
      </w:pPr>
      <w:r>
        <w:rPr>
          <w:rFonts w:ascii="Times New Roman" w:hAnsi="Times New Roman"/>
          <w:sz w:val="24"/>
        </w:rPr>
        <w:t>Post-litigation and post-transaction reviews are conducted for significant matters to identify lessons learned. Findings are documented and, where applicable, incorporated into updated procedures, training materials, or standard forms.</w:t>
      </w:r>
    </w:p>
    <w:p>
      <w:r>
        <w:br w:type="page"/>
      </w:r>
    </w:p>
    <w:p>
      <w:pPr>
        <w:spacing w:before="480" w:after="240"/>
      </w:pPr>
      <w:r>
        <w:rPr>
          <w:rFonts w:ascii="Times New Roman" w:hAnsi="Times New Roman"/>
          <w:b/>
          <w:sz w:val="24"/>
        </w:rPr>
        <w:t>12. TECHNOLOGY &amp; WORKFLOW OPTIMIZATION</w:t>
      </w:r>
    </w:p>
    <w:p>
      <w:pPr>
        <w:spacing w:after="120"/>
      </w:pPr>
      <w:r>
        <w:rPr>
          <w:rFonts w:ascii="Times New Roman" w:hAnsi="Times New Roman"/>
          <w:sz w:val="24"/>
        </w:rPr>
        <w:t>The Legal Department utilizes technology to improve efficiency, enhance visibility, and support scalable operations.</w:t>
      </w:r>
    </w:p>
    <w:p>
      <w:pPr>
        <w:spacing w:before="360" w:after="200"/>
      </w:pPr>
      <w:r>
        <w:rPr>
          <w:rFonts w:ascii="Times New Roman" w:hAnsi="Times New Roman"/>
          <w:b/>
          <w:sz w:val="24"/>
          <w:u w:val="single"/>
        </w:rPr>
        <w:t>A. Core Systems</w:t>
      </w:r>
    </w:p>
    <w:p>
      <w:pPr>
        <w:spacing w:after="120"/>
      </w:pPr>
      <w:r>
        <w:rPr>
          <w:rFonts w:ascii="Times New Roman" w:hAnsi="Times New Roman"/>
          <w:sz w:val="24"/>
        </w:rPr>
        <w:t>The following systems are currently used by the Department: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D9E2F3" w:val="clear"/>
          </w:tcPr>
          <w:p>
            <w:pPr>
              <w:jc w:val="center"/>
            </w:pPr>
            <w:r/>
            <w:r>
              <w:rPr>
                <w:rFonts w:ascii="Times New Roman" w:hAnsi="Times New Roman"/>
                <w:b/>
                <w:sz w:val="20"/>
              </w:rPr>
              <w:t>System</w:t>
            </w:r>
          </w:p>
        </w:tc>
        <w:tc>
          <w:tcPr>
            <w:tcW w:type="dxa" w:w="3600"/>
            <w:shd w:fill="D9E2F3" w:val="clear"/>
          </w:tcPr>
          <w:p>
            <w:pPr>
              <w:jc w:val="center"/>
            </w:pPr>
            <w:r/>
            <w:r>
              <w:rPr>
                <w:rFonts w:ascii="Times New Roman" w:hAnsi="Times New Roman"/>
                <w:b/>
                <w:sz w:val="20"/>
              </w:rPr>
              <w:t>Primary Function</w:t>
            </w:r>
          </w:p>
        </w:tc>
        <w:tc>
          <w:tcPr>
            <w:tcW w:type="dxa" w:w="1872"/>
            <w:shd w:fill="D9E2F3" w:val="clear"/>
          </w:tcPr>
          <w:p>
            <w:pPr>
              <w:jc w:val="center"/>
            </w:pPr>
            <w:r/>
            <w:r>
              <w:rPr>
                <w:rFonts w:ascii="Times New Roman" w:hAnsi="Times New Roman"/>
                <w:b/>
                <w:sz w:val="20"/>
              </w:rPr>
              <w:t>Owner</w:t>
            </w:r>
          </w:p>
        </w:tc>
        <w:tc>
          <w:tcPr>
            <w:tcW w:type="dxa" w:w="2016"/>
            <w:shd w:fill="D9E2F3" w:val="clear"/>
          </w:tcPr>
          <w:p>
            <w:pPr>
              <w:jc w:val="center"/>
            </w:pPr>
            <w:r/>
            <w:r>
              <w:rPr>
                <w:rFonts w:ascii="Times New Roman" w:hAnsi="Times New Roman"/>
                <w:b/>
                <w:sz w:val="20"/>
              </w:rPr>
              <w:t>Users</w:t>
            </w:r>
          </w:p>
        </w:tc>
      </w:tr>
      <w:tr>
        <w:tc>
          <w:tcPr>
            <w:tcW w:type="dxa" w:w="1872"/>
          </w:tcPr>
          <w:p>
            <w:r/>
            <w:r>
              <w:rPr>
                <w:rFonts w:ascii="Times New Roman" w:hAnsi="Times New Roman"/>
                <w:sz w:val="20"/>
              </w:rPr>
              <w:t>Salesforce</w:t>
            </w:r>
          </w:p>
        </w:tc>
        <w:tc>
          <w:tcPr>
            <w:tcW w:type="dxa" w:w="3600"/>
          </w:tcPr>
          <w:p>
            <w:r/>
            <w:r>
              <w:rPr>
                <w:rFonts w:ascii="Times New Roman" w:hAnsi="Times New Roman"/>
                <w:sz w:val="20"/>
              </w:rPr>
              <w:t>Lease intake, workflow tracking, pipeline dashboard</w:t>
            </w:r>
          </w:p>
        </w:tc>
        <w:tc>
          <w:tcPr>
            <w:tcW w:type="dxa" w:w="1872"/>
          </w:tcPr>
          <w:p>
            <w:r/>
            <w:r>
              <w:rPr>
                <w:rFonts w:ascii="Times New Roman" w:hAnsi="Times New Roman"/>
                <w:sz w:val="20"/>
              </w:rPr>
              <w:t>Legal / Asset Mgmt</w:t>
            </w:r>
          </w:p>
        </w:tc>
        <w:tc>
          <w:tcPr>
            <w:tcW w:type="dxa" w:w="2016"/>
          </w:tcPr>
          <w:p>
            <w:r/>
            <w:r>
              <w:rPr>
                <w:rFonts w:ascii="Times New Roman" w:hAnsi="Times New Roman"/>
                <w:sz w:val="20"/>
              </w:rPr>
              <w:t>Legal, Asset Mgmt, Executive</w:t>
            </w:r>
          </w:p>
        </w:tc>
      </w:tr>
      <w:tr>
        <w:tc>
          <w:tcPr>
            <w:tcW w:type="dxa" w:w="1872"/>
          </w:tcPr>
          <w:p>
            <w:r/>
            <w:r>
              <w:rPr>
                <w:rFonts w:ascii="Times New Roman" w:hAnsi="Times New Roman"/>
                <w:sz w:val="20"/>
              </w:rPr>
              <w:t>SharePoint</w:t>
            </w:r>
          </w:p>
        </w:tc>
        <w:tc>
          <w:tcPr>
            <w:tcW w:type="dxa" w:w="3600"/>
          </w:tcPr>
          <w:p>
            <w:r/>
            <w:r>
              <w:rPr>
                <w:rFonts w:ascii="Times New Roman" w:hAnsi="Times New Roman"/>
                <w:sz w:val="20"/>
              </w:rPr>
              <w:t>Document collaboration, version control, storage</w:t>
            </w:r>
          </w:p>
        </w:tc>
        <w:tc>
          <w:tcPr>
            <w:tcW w:type="dxa" w:w="1872"/>
          </w:tcPr>
          <w:p>
            <w:r/>
            <w:r>
              <w:rPr>
                <w:rFonts w:ascii="Times New Roman" w:hAnsi="Times New Roman"/>
                <w:sz w:val="20"/>
              </w:rPr>
              <w:t>Legal / IT</w:t>
            </w:r>
          </w:p>
        </w:tc>
        <w:tc>
          <w:tcPr>
            <w:tcW w:type="dxa" w:w="2016"/>
          </w:tcPr>
          <w:p>
            <w:r/>
            <w:r>
              <w:rPr>
                <w:rFonts w:ascii="Times New Roman" w:hAnsi="Times New Roman"/>
                <w:sz w:val="20"/>
              </w:rPr>
              <w:t>Legal, Asset Mgmt, Finance</w:t>
            </w:r>
          </w:p>
        </w:tc>
      </w:tr>
      <w:tr>
        <w:tc>
          <w:tcPr>
            <w:tcW w:type="dxa" w:w="1872"/>
          </w:tcPr>
          <w:p>
            <w:r/>
            <w:r>
              <w:rPr>
                <w:rFonts w:ascii="Times New Roman" w:hAnsi="Times New Roman"/>
                <w:sz w:val="20"/>
              </w:rPr>
              <w:t>ShareFile</w:t>
            </w:r>
          </w:p>
        </w:tc>
        <w:tc>
          <w:tcPr>
            <w:tcW w:type="dxa" w:w="3600"/>
          </w:tcPr>
          <w:p>
            <w:r/>
            <w:r>
              <w:rPr>
                <w:rFonts w:ascii="Times New Roman" w:hAnsi="Times New Roman"/>
                <w:sz w:val="20"/>
              </w:rPr>
              <w:t>Executed document storage and external sharing</w:t>
            </w:r>
          </w:p>
        </w:tc>
        <w:tc>
          <w:tcPr>
            <w:tcW w:type="dxa" w:w="1872"/>
          </w:tcPr>
          <w:p>
            <w:r/>
            <w:r>
              <w:rPr>
                <w:rFonts w:ascii="Times New Roman" w:hAnsi="Times New Roman"/>
                <w:sz w:val="20"/>
              </w:rPr>
              <w:t>Asset Mgmt</w:t>
            </w:r>
          </w:p>
        </w:tc>
        <w:tc>
          <w:tcPr>
            <w:tcW w:type="dxa" w:w="2016"/>
          </w:tcPr>
          <w:p>
            <w:r/>
            <w:r>
              <w:rPr>
                <w:rFonts w:ascii="Times New Roman" w:hAnsi="Times New Roman"/>
                <w:sz w:val="20"/>
              </w:rPr>
              <w:t>Legal, Asset Mgmt</w:t>
            </w:r>
          </w:p>
        </w:tc>
      </w:tr>
      <w:tr>
        <w:tc>
          <w:tcPr>
            <w:tcW w:type="dxa" w:w="1872"/>
          </w:tcPr>
          <w:p>
            <w:r/>
            <w:r>
              <w:rPr>
                <w:rFonts w:ascii="Times New Roman" w:hAnsi="Times New Roman"/>
                <w:sz w:val="20"/>
              </w:rPr>
              <w:t>Legal Risk Tracker</w:t>
            </w:r>
          </w:p>
        </w:tc>
        <w:tc>
          <w:tcPr>
            <w:tcW w:type="dxa" w:w="3600"/>
          </w:tcPr>
          <w:p>
            <w:r/>
            <w:r>
              <w:rPr>
                <w:rFonts w:ascii="Times New Roman" w:hAnsi="Times New Roman"/>
                <w:sz w:val="20"/>
              </w:rPr>
              <w:t>Litigation and risk monitoring, reporting</w:t>
            </w:r>
          </w:p>
        </w:tc>
        <w:tc>
          <w:tcPr>
            <w:tcW w:type="dxa" w:w="1872"/>
          </w:tcPr>
          <w:p>
            <w:r/>
            <w:r>
              <w:rPr>
                <w:rFonts w:ascii="Times New Roman" w:hAnsi="Times New Roman"/>
                <w:sz w:val="20"/>
              </w:rPr>
              <w:t>Legal</w:t>
            </w:r>
          </w:p>
        </w:tc>
        <w:tc>
          <w:tcPr>
            <w:tcW w:type="dxa" w:w="2016"/>
          </w:tcPr>
          <w:p>
            <w:r/>
            <w:r>
              <w:rPr>
                <w:rFonts w:ascii="Times New Roman" w:hAnsi="Times New Roman"/>
                <w:sz w:val="20"/>
              </w:rPr>
              <w:t>Legal, Executive, CFO</w:t>
            </w:r>
          </w:p>
        </w:tc>
      </w:tr>
    </w:tbl>
    <w:p/>
    <w:p>
      <w:pPr>
        <w:spacing w:after="120"/>
      </w:pPr>
      <w:r>
        <w:rPr>
          <w:rFonts w:ascii="Times New Roman" w:hAnsi="Times New Roman"/>
          <w:sz w:val="24"/>
        </w:rPr>
        <w:t>System access is provisioned based on role and business need. The Department coordinates with IT to ensure appropriate access controls are maintained.</w:t>
      </w:r>
    </w:p>
    <w:p>
      <w:pPr>
        <w:spacing w:before="360" w:after="200"/>
      </w:pPr>
      <w:r>
        <w:rPr>
          <w:rFonts w:ascii="Times New Roman" w:hAnsi="Times New Roman"/>
          <w:b/>
          <w:sz w:val="24"/>
          <w:u w:val="single"/>
        </w:rPr>
        <w:t>B. System Integration</w:t>
      </w:r>
    </w:p>
    <w:p>
      <w:pPr>
        <w:spacing w:after="120"/>
      </w:pPr>
      <w:r>
        <w:rPr>
          <w:rFonts w:ascii="Times New Roman" w:hAnsi="Times New Roman"/>
          <w:sz w:val="24"/>
        </w:rPr>
        <w:t>The Legal Department works to ensure that:</w:t>
      </w:r>
    </w:p>
    <w:p>
      <w:pPr>
        <w:pStyle w:val="ListBullet"/>
      </w:pPr>
      <w:r>
        <w:rPr>
          <w:rFonts w:ascii="Times New Roman" w:hAnsi="Times New Roman"/>
          <w:sz w:val="24"/>
        </w:rPr>
        <w:t>Legal workflows are integrated with operational systems</w:t>
      </w:r>
    </w:p>
    <w:p>
      <w:pPr>
        <w:pStyle w:val="ListBullet"/>
      </w:pPr>
      <w:r>
        <w:rPr>
          <w:rFonts w:ascii="Times New Roman" w:hAnsi="Times New Roman"/>
          <w:sz w:val="24"/>
        </w:rPr>
        <w:t>Data is captured consistently across platforms</w:t>
      </w:r>
    </w:p>
    <w:p>
      <w:pPr>
        <w:pStyle w:val="ListBullet"/>
      </w:pPr>
      <w:r>
        <w:rPr>
          <w:rFonts w:ascii="Times New Roman" w:hAnsi="Times New Roman"/>
          <w:sz w:val="24"/>
        </w:rPr>
        <w:t>Information is accessible to relevant stakeholders</w:t>
      </w:r>
    </w:p>
    <w:p>
      <w:pPr>
        <w:pStyle w:val="ListBullet"/>
      </w:pPr>
      <w:r>
        <w:rPr>
          <w:rFonts w:ascii="Times New Roman" w:hAnsi="Times New Roman"/>
          <w:sz w:val="24"/>
        </w:rPr>
        <w:t>Duplicate data entry is minimized through system integration where feasible</w:t>
      </w:r>
    </w:p>
    <w:p>
      <w:pPr>
        <w:spacing w:after="120"/>
      </w:pPr>
      <w:r>
        <w:rPr>
          <w:rFonts w:ascii="Times New Roman" w:hAnsi="Times New Roman"/>
          <w:sz w:val="24"/>
        </w:rPr>
        <w:t>The Department collaborates with IT and Finance to ensure that legal data (e.g., lease milestones, litigation reserves, entity records) is accurately reflected in the Company’s financial and operational reporting systems.</w:t>
      </w:r>
    </w:p>
    <w:p>
      <w:pPr>
        <w:spacing w:before="360" w:after="200"/>
      </w:pPr>
      <w:r>
        <w:rPr>
          <w:rFonts w:ascii="Times New Roman" w:hAnsi="Times New Roman"/>
          <w:b/>
          <w:sz w:val="24"/>
          <w:u w:val="single"/>
        </w:rPr>
        <w:t>C. Evaluation of New Tools</w:t>
      </w:r>
    </w:p>
    <w:p>
      <w:pPr>
        <w:spacing w:after="120"/>
      </w:pPr>
      <w:r>
        <w:rPr>
          <w:rFonts w:ascii="Times New Roman" w:hAnsi="Times New Roman"/>
          <w:sz w:val="24"/>
        </w:rPr>
        <w:t>The Legal Department may evaluate additional tools to improve:</w:t>
      </w:r>
    </w:p>
    <w:p>
      <w:pPr>
        <w:pStyle w:val="ListBullet"/>
      </w:pPr>
      <w:r>
        <w:rPr>
          <w:rFonts w:ascii="Times New Roman" w:hAnsi="Times New Roman"/>
          <w:sz w:val="24"/>
        </w:rPr>
        <w:t>Lease data extraction and analysis</w:t>
      </w:r>
    </w:p>
    <w:p>
      <w:pPr>
        <w:pStyle w:val="ListBullet"/>
      </w:pPr>
      <w:r>
        <w:rPr>
          <w:rFonts w:ascii="Times New Roman" w:hAnsi="Times New Roman"/>
          <w:sz w:val="24"/>
        </w:rPr>
        <w:t>Document automation</w:t>
      </w:r>
    </w:p>
    <w:p>
      <w:pPr>
        <w:pStyle w:val="ListBullet"/>
      </w:pPr>
      <w:r>
        <w:rPr>
          <w:rFonts w:ascii="Times New Roman" w:hAnsi="Times New Roman"/>
          <w:sz w:val="24"/>
        </w:rPr>
        <w:t>Risk tracking and reporting</w:t>
      </w:r>
    </w:p>
    <w:p>
      <w:pPr>
        <w:pStyle w:val="ListBullet"/>
      </w:pPr>
      <w:r>
        <w:rPr>
          <w:rFonts w:ascii="Times New Roman" w:hAnsi="Times New Roman"/>
          <w:sz w:val="24"/>
        </w:rPr>
        <w:t>Workflow automation</w:t>
      </w:r>
    </w:p>
    <w:p>
      <w:pPr>
        <w:spacing w:after="120"/>
      </w:pPr>
      <w:r>
        <w:rPr>
          <w:rFonts w:ascii="Times New Roman" w:hAnsi="Times New Roman"/>
          <w:sz w:val="24"/>
        </w:rPr>
        <w:t>New technology evaluations should consider the following criteria:</w:t>
      </w:r>
    </w:p>
    <w:p>
      <w:pPr>
        <w:pStyle w:val="ListBullet"/>
      </w:pPr>
      <w:r>
        <w:rPr>
          <w:rFonts w:ascii="Times New Roman" w:hAnsi="Times New Roman"/>
          <w:sz w:val="24"/>
        </w:rPr>
        <w:t>Integration capability with existing systems (Salesforce, SharePoint)</w:t>
      </w:r>
    </w:p>
    <w:p>
      <w:pPr>
        <w:pStyle w:val="ListBullet"/>
      </w:pPr>
      <w:r>
        <w:rPr>
          <w:rFonts w:ascii="Times New Roman" w:hAnsi="Times New Roman"/>
          <w:sz w:val="24"/>
        </w:rPr>
        <w:t>Data security and access control standards</w:t>
      </w:r>
    </w:p>
    <w:p>
      <w:pPr>
        <w:pStyle w:val="ListBullet"/>
      </w:pPr>
      <w:r>
        <w:rPr>
          <w:rFonts w:ascii="Times New Roman" w:hAnsi="Times New Roman"/>
          <w:sz w:val="24"/>
        </w:rPr>
        <w:t>Cost-benefit analysis and return on investment</w:t>
      </w:r>
    </w:p>
    <w:p>
      <w:pPr>
        <w:pStyle w:val="ListBullet"/>
      </w:pPr>
      <w:r>
        <w:rPr>
          <w:rFonts w:ascii="Times New Roman" w:hAnsi="Times New Roman"/>
          <w:sz w:val="24"/>
        </w:rPr>
        <w:t>Ease of adoption and training requirements</w:t>
      </w:r>
    </w:p>
    <w:p>
      <w:pPr>
        <w:pStyle w:val="ListBullet"/>
      </w:pPr>
      <w:r>
        <w:rPr>
          <w:rFonts w:ascii="Times New Roman" w:hAnsi="Times New Roman"/>
          <w:sz w:val="24"/>
        </w:rPr>
        <w:t>Vendor reliability and support</w:t>
      </w:r>
    </w:p>
    <w:p>
      <w:pPr>
        <w:spacing w:after="120"/>
      </w:pPr>
      <w:r>
        <w:rPr>
          <w:rFonts w:ascii="Times New Roman" w:hAnsi="Times New Roman"/>
          <w:sz w:val="24"/>
        </w:rPr>
        <w:t>The Department will coordinate with IT and Finance before procuring or implementing new technology solutions. Material technology investments require approval in accordance with the Company’s standard procurement process.</w:t>
      </w:r>
    </w:p>
    <w:p>
      <w:pPr>
        <w:spacing w:before="360" w:after="200"/>
      </w:pPr>
      <w:r>
        <w:rPr>
          <w:rFonts w:ascii="Times New Roman" w:hAnsi="Times New Roman"/>
          <w:b/>
          <w:sz w:val="24"/>
          <w:u w:val="single"/>
        </w:rPr>
        <w:t>D. Data Integrity</w:t>
      </w:r>
    </w:p>
    <w:p>
      <w:pPr>
        <w:spacing w:after="120"/>
      </w:pPr>
      <w:r>
        <w:rPr>
          <w:rFonts w:ascii="Times New Roman" w:hAnsi="Times New Roman"/>
          <w:sz w:val="24"/>
        </w:rPr>
        <w:t>Maintaining accurate and consistent data across systems is critical to effective legal operations and reporting. The Department is responsible for:</w:t>
      </w:r>
    </w:p>
    <w:p>
      <w:pPr>
        <w:pStyle w:val="ListBullet"/>
      </w:pPr>
      <w:r>
        <w:rPr>
          <w:rFonts w:ascii="Times New Roman" w:hAnsi="Times New Roman"/>
          <w:sz w:val="24"/>
        </w:rPr>
        <w:t>Periodic audits of data accuracy in Salesforce and SharePoint</w:t>
      </w:r>
    </w:p>
    <w:p>
      <w:pPr>
        <w:pStyle w:val="ListBullet"/>
      </w:pPr>
      <w:r>
        <w:rPr>
          <w:rFonts w:ascii="Times New Roman" w:hAnsi="Times New Roman"/>
          <w:sz w:val="24"/>
        </w:rPr>
        <w:t>Ensuring that lease milestone dates, entity records, and litigation data are current</w:t>
      </w:r>
    </w:p>
    <w:p>
      <w:pPr>
        <w:pStyle w:val="ListBullet"/>
      </w:pPr>
      <w:r>
        <w:rPr>
          <w:rFonts w:ascii="Times New Roman" w:hAnsi="Times New Roman"/>
          <w:sz w:val="24"/>
        </w:rPr>
        <w:t>Reporting data discrepancies to the relevant system owner for correction</w:t>
      </w:r>
    </w:p>
    <w:p>
      <w:pPr>
        <w:pStyle w:val="ListBullet"/>
      </w:pPr>
      <w:r>
        <w:rPr>
          <w:rFonts w:ascii="Times New Roman" w:hAnsi="Times New Roman"/>
          <w:sz w:val="24"/>
        </w:rPr>
        <w:t>Maintaining consistent naming conventions and folder structures across all platforms</w:t>
      </w:r>
    </w:p>
    <w:p>
      <w:pPr>
        <w:spacing w:before="360" w:after="200"/>
      </w:pPr>
      <w:r>
        <w:rPr>
          <w:rFonts w:ascii="Times New Roman" w:hAnsi="Times New Roman"/>
          <w:b/>
          <w:sz w:val="24"/>
          <w:u w:val="single"/>
        </w:rPr>
        <w:t>E. Change Management</w:t>
      </w:r>
    </w:p>
    <w:p>
      <w:pPr>
        <w:spacing w:after="120"/>
      </w:pPr>
      <w:r>
        <w:rPr>
          <w:rFonts w:ascii="Times New Roman" w:hAnsi="Times New Roman"/>
          <w:sz w:val="24"/>
        </w:rPr>
        <w:t>System upgrades, migrations, or workflow changes that affect the Department’s operations must be coordinated with the Department in advance. The Department will participate in testing and training prior to implementation of material system changes to ensure continuity of legal operations.</w:t>
      </w:r>
    </w:p>
    <w:p>
      <w:r>
        <w:br w:type="page"/>
      </w:r>
    </w:p>
    <w:p>
      <w:pPr>
        <w:spacing w:before="480" w:after="240"/>
      </w:pPr>
      <w:r>
        <w:rPr>
          <w:rFonts w:ascii="Times New Roman" w:hAnsi="Times New Roman"/>
          <w:b/>
          <w:sz w:val="24"/>
        </w:rPr>
        <w:t>13. POLICY REVIEW AND UPDATES</w:t>
      </w:r>
    </w:p>
    <w:p>
      <w:pPr>
        <w:spacing w:after="120"/>
      </w:pPr>
      <w:r>
        <w:rPr>
          <w:rFonts w:ascii="Times New Roman" w:hAnsi="Times New Roman"/>
          <w:sz w:val="24"/>
        </w:rPr>
        <w:t>This Manual is intended to serve as a living document that evolves with the Company’s operations and legal requirements.</w:t>
      </w:r>
    </w:p>
    <w:p>
      <w:pPr>
        <w:spacing w:before="360" w:after="200"/>
      </w:pPr>
      <w:r>
        <w:rPr>
          <w:rFonts w:ascii="Times New Roman" w:hAnsi="Times New Roman"/>
          <w:b/>
          <w:sz w:val="24"/>
          <w:u w:val="single"/>
        </w:rPr>
        <w:t>A. Periodic Review</w:t>
      </w:r>
    </w:p>
    <w:p>
      <w:pPr>
        <w:spacing w:after="120"/>
      </w:pPr>
      <w:r>
        <w:rPr>
          <w:rFonts w:ascii="Times New Roman" w:hAnsi="Times New Roman"/>
          <w:sz w:val="24"/>
        </w:rPr>
        <w:t>The Legal Department will review this Manual annually, with the review cycle aligned to the Company’s fiscal year. Reviews should ensure alignment with:</w:t>
      </w:r>
    </w:p>
    <w:p>
      <w:pPr>
        <w:pStyle w:val="ListBullet"/>
      </w:pPr>
      <w:r>
        <w:rPr>
          <w:rFonts w:ascii="Times New Roman" w:hAnsi="Times New Roman"/>
          <w:sz w:val="24"/>
        </w:rPr>
        <w:t>Changes in Company structure or strategy</w:t>
      </w:r>
    </w:p>
    <w:p>
      <w:pPr>
        <w:pStyle w:val="ListBullet"/>
      </w:pPr>
      <w:r>
        <w:rPr>
          <w:rFonts w:ascii="Times New Roman" w:hAnsi="Times New Roman"/>
          <w:sz w:val="24"/>
        </w:rPr>
        <w:t>System implementations or upgrades</w:t>
      </w:r>
    </w:p>
    <w:p>
      <w:pPr>
        <w:pStyle w:val="ListBullet"/>
      </w:pPr>
      <w:r>
        <w:rPr>
          <w:rFonts w:ascii="Times New Roman" w:hAnsi="Times New Roman"/>
          <w:sz w:val="24"/>
        </w:rPr>
        <w:t>Regulatory developments</w:t>
      </w:r>
    </w:p>
    <w:p>
      <w:pPr>
        <w:pStyle w:val="ListBullet"/>
      </w:pPr>
      <w:r>
        <w:rPr>
          <w:rFonts w:ascii="Times New Roman" w:hAnsi="Times New Roman"/>
          <w:sz w:val="24"/>
        </w:rPr>
        <w:t>Operational needs</w:t>
      </w:r>
    </w:p>
    <w:p>
      <w:pPr>
        <w:spacing w:after="120"/>
      </w:pPr>
      <w:r>
        <w:rPr>
          <w:rFonts w:ascii="Times New Roman" w:hAnsi="Times New Roman"/>
          <w:sz w:val="24"/>
        </w:rPr>
        <w:t>The annual review should be completed within the first quarter of each fiscal year.</w:t>
      </w:r>
    </w:p>
    <w:p>
      <w:pPr>
        <w:spacing w:before="360" w:after="200"/>
      </w:pPr>
      <w:r>
        <w:rPr>
          <w:rFonts w:ascii="Times New Roman" w:hAnsi="Times New Roman"/>
          <w:b/>
          <w:sz w:val="24"/>
          <w:u w:val="single"/>
        </w:rPr>
        <w:t>B. Updates and Revisions</w:t>
      </w:r>
    </w:p>
    <w:p>
      <w:pPr>
        <w:spacing w:after="120"/>
      </w:pPr>
      <w:r>
        <w:rPr>
          <w:rFonts w:ascii="Times New Roman" w:hAnsi="Times New Roman"/>
          <w:sz w:val="24"/>
        </w:rPr>
        <w:t>The Legal Department may update this Manual as necessary. Material changes must be approved by the General Counsel and communicated to relevant stakeholders.</w:t>
      </w:r>
    </w:p>
    <w:p>
      <w:pPr>
        <w:spacing w:after="120"/>
      </w:pPr>
      <w:r>
        <w:rPr>
          <w:rFonts w:ascii="Times New Roman" w:hAnsi="Times New Roman"/>
          <w:sz w:val="24"/>
        </w:rPr>
        <w:t>The following version control practices apply:</w:t>
      </w:r>
    </w:p>
    <w:p>
      <w:pPr>
        <w:pStyle w:val="ListBullet"/>
      </w:pPr>
      <w:r>
        <w:rPr>
          <w:rFonts w:ascii="Times New Roman" w:hAnsi="Times New Roman"/>
          <w:sz w:val="24"/>
        </w:rPr>
        <w:t>Each revision is assigned a version number and effective date</w:t>
      </w:r>
    </w:p>
    <w:p>
      <w:pPr>
        <w:pStyle w:val="ListBullet"/>
      </w:pPr>
      <w:r>
        <w:rPr>
          <w:rFonts w:ascii="Times New Roman" w:hAnsi="Times New Roman"/>
          <w:sz w:val="24"/>
        </w:rPr>
        <w:t>A change log is maintained documenting all material revisions (see below)</w:t>
      </w:r>
    </w:p>
    <w:p>
      <w:pPr>
        <w:pStyle w:val="ListBullet"/>
      </w:pPr>
      <w:r>
        <w:rPr>
          <w:rFonts w:ascii="Times New Roman" w:hAnsi="Times New Roman"/>
          <w:sz w:val="24"/>
        </w:rPr>
        <w:t>The current version of the Manual is stored in SharePoint in a designated location accessible to Department personnel</w:t>
      </w:r>
    </w:p>
    <w:p>
      <w:pPr>
        <w:pStyle w:val="ListBullet"/>
      </w:pPr>
      <w:r>
        <w:rPr>
          <w:rFonts w:ascii="Times New Roman" w:hAnsi="Times New Roman"/>
          <w:sz w:val="24"/>
        </w:rPr>
        <w:t>Superseded versions are archived but retained for reference</w:t>
      </w:r>
    </w:p>
    <w:p>
      <w:pPr>
        <w:spacing w:before="360" w:after="200"/>
      </w:pPr>
      <w:r>
        <w:rPr>
          <w:rFonts w:ascii="Times New Roman" w:hAnsi="Times New Roman"/>
          <w:b/>
          <w:sz w:val="24"/>
          <w:u w:val="single"/>
        </w:rPr>
        <w:t>C. Change 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fill="D9E2F3" w:val="clear"/>
          </w:tcPr>
          <w:p>
            <w:pPr>
              <w:jc w:val="center"/>
            </w:pPr>
            <w:r/>
            <w:r>
              <w:rPr>
                <w:rFonts w:ascii="Times New Roman" w:hAnsi="Times New Roman"/>
                <w:b/>
                <w:sz w:val="20"/>
              </w:rPr>
              <w:t>Version</w:t>
            </w:r>
          </w:p>
        </w:tc>
        <w:tc>
          <w:tcPr>
            <w:tcW w:type="dxa" w:w="1584"/>
            <w:shd w:fill="D9E2F3" w:val="clear"/>
          </w:tcPr>
          <w:p>
            <w:pPr>
              <w:jc w:val="center"/>
            </w:pPr>
            <w:r/>
            <w:r>
              <w:rPr>
                <w:rFonts w:ascii="Times New Roman" w:hAnsi="Times New Roman"/>
                <w:b/>
                <w:sz w:val="20"/>
              </w:rPr>
              <w:t>Date</w:t>
            </w:r>
          </w:p>
        </w:tc>
        <w:tc>
          <w:tcPr>
            <w:tcW w:type="dxa" w:w="4752"/>
            <w:shd w:fill="D9E2F3" w:val="clear"/>
          </w:tcPr>
          <w:p>
            <w:pPr>
              <w:jc w:val="center"/>
            </w:pPr>
            <w:r/>
            <w:r>
              <w:rPr>
                <w:rFonts w:ascii="Times New Roman" w:hAnsi="Times New Roman"/>
                <w:b/>
                <w:sz w:val="20"/>
              </w:rPr>
              <w:t>Description of Change</w:t>
            </w:r>
          </w:p>
        </w:tc>
        <w:tc>
          <w:tcPr>
            <w:tcW w:type="dxa" w:w="1728"/>
            <w:shd w:fill="D9E2F3" w:val="clear"/>
          </w:tcPr>
          <w:p>
            <w:pPr>
              <w:jc w:val="center"/>
            </w:pPr>
            <w:r/>
            <w:r>
              <w:rPr>
                <w:rFonts w:ascii="Times New Roman" w:hAnsi="Times New Roman"/>
                <w:b/>
                <w:sz w:val="20"/>
              </w:rPr>
              <w:t>Approved By</w:t>
            </w:r>
          </w:p>
        </w:tc>
      </w:tr>
      <w:tr>
        <w:tc>
          <w:tcPr>
            <w:tcW w:type="dxa" w:w="1296"/>
          </w:tcPr>
          <w:p>
            <w:r/>
            <w:r>
              <w:rPr>
                <w:rFonts w:ascii="Times New Roman" w:hAnsi="Times New Roman"/>
                <w:sz w:val="20"/>
              </w:rPr>
              <w:t>1.0</w:t>
            </w:r>
          </w:p>
        </w:tc>
        <w:tc>
          <w:tcPr>
            <w:tcW w:type="dxa" w:w="1584"/>
          </w:tcPr>
          <w:p>
            <w:r/>
            <w:r>
              <w:rPr>
                <w:rFonts w:ascii="Times New Roman" w:hAnsi="Times New Roman"/>
                <w:sz w:val="20"/>
              </w:rPr>
              <w:t>[Date]</w:t>
            </w:r>
          </w:p>
        </w:tc>
        <w:tc>
          <w:tcPr>
            <w:tcW w:type="dxa" w:w="4752"/>
          </w:tcPr>
          <w:p>
            <w:r/>
            <w:r>
              <w:rPr>
                <w:rFonts w:ascii="Times New Roman" w:hAnsi="Times New Roman"/>
                <w:sz w:val="20"/>
              </w:rPr>
              <w:t>Initial publication</w:t>
            </w:r>
          </w:p>
        </w:tc>
        <w:tc>
          <w:tcPr>
            <w:tcW w:type="dxa" w:w="1728"/>
          </w:tcPr>
          <w:p>
            <w:r/>
            <w:r>
              <w:rPr>
                <w:rFonts w:ascii="Times New Roman" w:hAnsi="Times New Roman"/>
                <w:sz w:val="20"/>
              </w:rPr>
              <w:t>[Name/Title]</w:t>
            </w:r>
          </w:p>
        </w:tc>
      </w:tr>
      <w:tr>
        <w:tc>
          <w:tcPr>
            <w:tcW w:type="dxa" w:w="1296"/>
          </w:tcPr>
          <w:p>
            <w:r/>
            <w:r>
              <w:rPr>
                <w:rFonts w:ascii="Times New Roman" w:hAnsi="Times New Roman"/>
                <w:sz w:val="20"/>
              </w:rPr>
            </w:r>
          </w:p>
        </w:tc>
        <w:tc>
          <w:tcPr>
            <w:tcW w:type="dxa" w:w="1584"/>
          </w:tcPr>
          <w:p>
            <w:r/>
            <w:r>
              <w:rPr>
                <w:rFonts w:ascii="Times New Roman" w:hAnsi="Times New Roman"/>
                <w:sz w:val="20"/>
              </w:rPr>
            </w:r>
          </w:p>
        </w:tc>
        <w:tc>
          <w:tcPr>
            <w:tcW w:type="dxa" w:w="4752"/>
          </w:tcPr>
          <w:p>
            <w:r/>
            <w:r>
              <w:rPr>
                <w:rFonts w:ascii="Times New Roman" w:hAnsi="Times New Roman"/>
                <w:sz w:val="20"/>
              </w:rPr>
            </w:r>
          </w:p>
        </w:tc>
        <w:tc>
          <w:tcPr>
            <w:tcW w:type="dxa" w:w="1728"/>
          </w:tcPr>
          <w:p>
            <w:r/>
            <w:r>
              <w:rPr>
                <w:rFonts w:ascii="Times New Roman" w:hAnsi="Times New Roman"/>
                <w:sz w:val="20"/>
              </w:rPr>
            </w:r>
          </w:p>
        </w:tc>
      </w:tr>
      <w:tr>
        <w:tc>
          <w:tcPr>
            <w:tcW w:type="dxa" w:w="1296"/>
          </w:tcPr>
          <w:p>
            <w:r/>
            <w:r>
              <w:rPr>
                <w:rFonts w:ascii="Times New Roman" w:hAnsi="Times New Roman"/>
                <w:sz w:val="20"/>
              </w:rPr>
            </w:r>
          </w:p>
        </w:tc>
        <w:tc>
          <w:tcPr>
            <w:tcW w:type="dxa" w:w="1584"/>
          </w:tcPr>
          <w:p>
            <w:r/>
            <w:r>
              <w:rPr>
                <w:rFonts w:ascii="Times New Roman" w:hAnsi="Times New Roman"/>
                <w:sz w:val="20"/>
              </w:rPr>
            </w:r>
          </w:p>
        </w:tc>
        <w:tc>
          <w:tcPr>
            <w:tcW w:type="dxa" w:w="4752"/>
          </w:tcPr>
          <w:p>
            <w:r/>
            <w:r>
              <w:rPr>
                <w:rFonts w:ascii="Times New Roman" w:hAnsi="Times New Roman"/>
                <w:sz w:val="20"/>
              </w:rPr>
            </w:r>
          </w:p>
        </w:tc>
        <w:tc>
          <w:tcPr>
            <w:tcW w:type="dxa" w:w="1728"/>
          </w:tcPr>
          <w:p>
            <w:r/>
            <w:r>
              <w:rPr>
                <w:rFonts w:ascii="Times New Roman" w:hAnsi="Times New Roman"/>
                <w:sz w:val="20"/>
              </w:rPr>
            </w:r>
          </w:p>
        </w:tc>
      </w:tr>
    </w:tbl>
    <w:p/>
    <w:p>
      <w:pPr>
        <w:spacing w:before="360" w:after="200"/>
      </w:pPr>
      <w:r>
        <w:rPr>
          <w:rFonts w:ascii="Times New Roman" w:hAnsi="Times New Roman"/>
          <w:b/>
          <w:sz w:val="24"/>
          <w:u w:val="single"/>
        </w:rPr>
        <w:t>D. Implementation</w:t>
      </w:r>
    </w:p>
    <w:p>
      <w:pPr>
        <w:spacing w:after="120"/>
      </w:pPr>
      <w:r>
        <w:rPr>
          <w:rFonts w:ascii="Times New Roman" w:hAnsi="Times New Roman"/>
          <w:sz w:val="24"/>
        </w:rPr>
        <w:t>The Legal Department is responsible for implementing and maintaining compliance with the procedures outlined in this Manual. All Department personnel are expected to review and adhere to the current version of this Manual.</w:t>
      </w:r>
    </w:p>
    <w:p>
      <w:r>
        <w:br w:type="page"/>
      </w:r>
    </w:p>
    <w:p>
      <w:pPr>
        <w:spacing w:before="480" w:after="240"/>
      </w:pPr>
      <w:r>
        <w:rPr>
          <w:rFonts w:ascii="Times New Roman" w:hAnsi="Times New Roman"/>
          <w:b/>
          <w:sz w:val="24"/>
        </w:rPr>
        <w:t>ATTACHMENT A: DELEGATION OF AUTHORITY MATRIX</w:t>
      </w:r>
    </w:p>
    <w:p>
      <w:pPr>
        <w:spacing w:after="120"/>
      </w:pPr>
      <w:r>
        <w:rPr>
          <w:rFonts w:ascii="Times New Roman" w:hAnsi="Times New Roman"/>
          <w:sz w:val="24"/>
        </w:rPr>
        <w:t>The following matrix establishes approval authority for legal and transactional matters. All dollar thresholds are subject to review and adjustment by executive leadership. Amounts exceeding the highest tier require Board approval.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D9E2F3" w:val="clear"/>
          </w:tcPr>
          <w:p>
            <w:pPr>
              <w:jc w:val="center"/>
            </w:pPr>
            <w:r/>
            <w:r>
              <w:rPr>
                <w:rFonts w:ascii="Times New Roman" w:hAnsi="Times New Roman"/>
                <w:b/>
                <w:sz w:val="20"/>
              </w:rPr>
              <w:t>Action / Document Type</w:t>
            </w:r>
          </w:p>
        </w:tc>
        <w:tc>
          <w:tcPr>
            <w:tcW w:type="dxa" w:w="1872"/>
            <w:shd w:fill="D9E2F3" w:val="clear"/>
          </w:tcPr>
          <w:p>
            <w:pPr>
              <w:jc w:val="center"/>
            </w:pPr>
            <w:r/>
            <w:r>
              <w:rPr>
                <w:rFonts w:ascii="Times New Roman" w:hAnsi="Times New Roman"/>
                <w:b/>
                <w:sz w:val="20"/>
              </w:rPr>
              <w:t>Tier 1: GC</w:t>
            </w:r>
          </w:p>
        </w:tc>
        <w:tc>
          <w:tcPr>
            <w:tcW w:type="dxa" w:w="1872"/>
            <w:shd w:fill="D9E2F3" w:val="clear"/>
          </w:tcPr>
          <w:p>
            <w:pPr>
              <w:jc w:val="center"/>
            </w:pPr>
            <w:r/>
            <w:r>
              <w:rPr>
                <w:rFonts w:ascii="Times New Roman" w:hAnsi="Times New Roman"/>
                <w:b/>
                <w:sz w:val="20"/>
              </w:rPr>
              <w:t>Tier 2: GC + CFO</w:t>
            </w:r>
          </w:p>
        </w:tc>
        <w:tc>
          <w:tcPr>
            <w:tcW w:type="dxa" w:w="1872"/>
            <w:shd w:fill="D9E2F3" w:val="clear"/>
          </w:tcPr>
          <w:p>
            <w:pPr>
              <w:jc w:val="center"/>
            </w:pPr>
            <w:r/>
            <w:r>
              <w:rPr>
                <w:rFonts w:ascii="Times New Roman" w:hAnsi="Times New Roman"/>
                <w:b/>
                <w:sz w:val="20"/>
              </w:rPr>
              <w:t>Tier 3: GC + CEO</w:t>
            </w:r>
          </w:p>
        </w:tc>
        <w:tc>
          <w:tcPr>
            <w:tcW w:type="dxa" w:w="1152"/>
            <w:shd w:fill="D9E2F3" w:val="clear"/>
          </w:tcPr>
          <w:p>
            <w:pPr>
              <w:jc w:val="center"/>
            </w:pPr>
            <w:r/>
            <w:r>
              <w:rPr>
                <w:rFonts w:ascii="Times New Roman" w:hAnsi="Times New Roman"/>
                <w:b/>
                <w:sz w:val="20"/>
              </w:rPr>
              <w:t>Tier 4: Board</w:t>
            </w:r>
          </w:p>
        </w:tc>
      </w:tr>
      <w:tr>
        <w:tc>
          <w:tcPr>
            <w:tcW w:type="dxa" w:w="2592"/>
          </w:tcPr>
          <w:p>
            <w:r/>
            <w:r>
              <w:rPr>
                <w:rFonts w:ascii="Times New Roman" w:hAnsi="Times New Roman"/>
                <w:sz w:val="20"/>
              </w:rPr>
              <w:t>New Lease Execution</w:t>
            </w:r>
          </w:p>
        </w:tc>
        <w:tc>
          <w:tcPr>
            <w:tcW w:type="dxa" w:w="1872"/>
          </w:tcPr>
          <w:p>
            <w:r/>
            <w:r>
              <w:rPr>
                <w:rFonts w:ascii="Times New Roman" w:hAnsi="Times New Roman"/>
                <w:sz w:val="20"/>
              </w:rPr>
              <w:t>&lt; $[X] annual rent</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Lease Amendment</w:t>
            </w:r>
          </w:p>
        </w:tc>
        <w:tc>
          <w:tcPr>
            <w:tcW w:type="dxa" w:w="1872"/>
          </w:tcPr>
          <w:p>
            <w:r/>
            <w:r>
              <w:rPr>
                <w:rFonts w:ascii="Times New Roman" w:hAnsi="Times New Roman"/>
                <w:sz w:val="20"/>
              </w:rPr>
              <w:t>&lt; $[X] impact</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Lease Termination / Surrender</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Litigation Settlement</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Outside Counsel Engagement</w:t>
            </w:r>
          </w:p>
        </w:tc>
        <w:tc>
          <w:tcPr>
            <w:tcW w:type="dxa" w:w="1872"/>
          </w:tcPr>
          <w:p>
            <w:r/>
            <w:r>
              <w:rPr>
                <w:rFonts w:ascii="Times New Roman" w:hAnsi="Times New Roman"/>
                <w:sz w:val="20"/>
              </w:rPr>
              <w:t>&lt; $[X] budget</w:t>
            </w:r>
          </w:p>
        </w:tc>
        <w:tc>
          <w:tcPr>
            <w:tcW w:type="dxa" w:w="1872"/>
          </w:tcPr>
          <w:p>
            <w:r/>
            <w:r>
              <w:rPr>
                <w:rFonts w:ascii="Times New Roman" w:hAnsi="Times New Roman"/>
                <w:sz w:val="20"/>
              </w:rPr>
              <w:t>$[X] – $[Y]</w:t>
            </w:r>
          </w:p>
        </w:tc>
        <w:tc>
          <w:tcPr>
            <w:tcW w:type="dxa" w:w="1872"/>
          </w:tcPr>
          <w:p>
            <w:r/>
            <w:r>
              <w:rPr>
                <w:rFonts w:ascii="Times New Roman" w:hAnsi="Times New Roman"/>
                <w:sz w:val="20"/>
              </w:rPr>
              <w:t>&gt; $[Y]</w:t>
            </w:r>
          </w:p>
        </w:tc>
        <w:tc>
          <w:tcPr>
            <w:tcW w:type="dxa" w:w="1152"/>
          </w:tcPr>
          <w:p>
            <w:r/>
            <w:r>
              <w:rPr>
                <w:rFonts w:ascii="Times New Roman" w:hAnsi="Times New Roman"/>
                <w:sz w:val="20"/>
              </w:rPr>
              <w:t>N/A</w:t>
            </w:r>
          </w:p>
        </w:tc>
      </w:tr>
      <w:tr>
        <w:tc>
          <w:tcPr>
            <w:tcW w:type="dxa" w:w="2592"/>
          </w:tcPr>
          <w:p>
            <w:r/>
            <w:r>
              <w:rPr>
                <w:rFonts w:ascii="Times New Roman" w:hAnsi="Times New Roman"/>
                <w:sz w:val="20"/>
              </w:rPr>
              <w:t>Vendor / Service Contracts</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Entity Formation / Dissolution</w:t>
            </w:r>
          </w:p>
        </w:tc>
        <w:tc>
          <w:tcPr>
            <w:tcW w:type="dxa" w:w="1872"/>
          </w:tcPr>
          <w:p>
            <w:r/>
            <w:r>
              <w:rPr>
                <w:rFonts w:ascii="Times New Roman" w:hAnsi="Times New Roman"/>
                <w:sz w:val="20"/>
              </w:rPr>
              <w:t>GC approval</w:t>
            </w:r>
          </w:p>
        </w:tc>
        <w:tc>
          <w:tcPr>
            <w:tcW w:type="dxa" w:w="1872"/>
          </w:tcPr>
          <w:p>
            <w:r/>
            <w:r>
              <w:rPr>
                <w:rFonts w:ascii="Times New Roman" w:hAnsi="Times New Roman"/>
                <w:sz w:val="20"/>
              </w:rPr>
              <w:t>GC + CFO</w:t>
            </w:r>
          </w:p>
        </w:tc>
        <w:tc>
          <w:tcPr>
            <w:tcW w:type="dxa" w:w="1872"/>
          </w:tcPr>
          <w:p>
            <w:r/>
            <w:r>
              <w:rPr>
                <w:rFonts w:ascii="Times New Roman" w:hAnsi="Times New Roman"/>
                <w:sz w:val="20"/>
              </w:rPr>
              <w:t>GC + CEO</w:t>
            </w:r>
          </w:p>
        </w:tc>
        <w:tc>
          <w:tcPr>
            <w:tcW w:type="dxa" w:w="1152"/>
          </w:tcPr>
          <w:p>
            <w:r/>
            <w:r>
              <w:rPr>
                <w:rFonts w:ascii="Times New Roman" w:hAnsi="Times New Roman"/>
                <w:sz w:val="20"/>
              </w:rPr>
              <w:t>Board</w:t>
            </w:r>
          </w:p>
        </w:tc>
      </w:tr>
      <w:tr>
        <w:tc>
          <w:tcPr>
            <w:tcW w:type="dxa" w:w="2592"/>
          </w:tcPr>
          <w:p>
            <w:r/>
            <w:r>
              <w:rPr>
                <w:rFonts w:ascii="Times New Roman" w:hAnsi="Times New Roman"/>
                <w:sz w:val="20"/>
              </w:rPr>
              <w:t>Acquisition / Disposition</w:t>
            </w:r>
          </w:p>
        </w:tc>
        <w:tc>
          <w:tcPr>
            <w:tcW w:type="dxa" w:w="1872"/>
          </w:tcPr>
          <w:p>
            <w:r/>
            <w:r>
              <w:rPr>
                <w:rFonts w:ascii="Times New Roman" w:hAnsi="Times New Roman"/>
                <w:sz w:val="20"/>
              </w:rPr>
              <w:t>N/A</w:t>
            </w:r>
          </w:p>
        </w:tc>
        <w:tc>
          <w:tcPr>
            <w:tcW w:type="dxa" w:w="1872"/>
          </w:tcPr>
          <w:p>
            <w:r/>
            <w:r>
              <w:rPr>
                <w:rFonts w:ascii="Times New Roman" w:hAnsi="Times New Roman"/>
                <w:sz w:val="20"/>
              </w:rPr>
              <w:t>N/A</w:t>
            </w:r>
          </w:p>
        </w:tc>
        <w:tc>
          <w:tcPr>
            <w:tcW w:type="dxa" w:w="1872"/>
          </w:tcPr>
          <w:p>
            <w:r/>
            <w:r>
              <w:rPr>
                <w:rFonts w:ascii="Times New Roman" w:hAnsi="Times New Roman"/>
                <w:sz w:val="20"/>
              </w:rPr>
              <w:t>GC + CEO</w:t>
            </w:r>
          </w:p>
        </w:tc>
        <w:tc>
          <w:tcPr>
            <w:tcW w:type="dxa" w:w="1152"/>
          </w:tcPr>
          <w:p>
            <w:r/>
            <w:r>
              <w:rPr>
                <w:rFonts w:ascii="Times New Roman" w:hAnsi="Times New Roman"/>
                <w:sz w:val="20"/>
              </w:rPr>
              <w:t>Board</w:t>
            </w:r>
          </w:p>
        </w:tc>
      </w:tr>
      <w:tr>
        <w:tc>
          <w:tcPr>
            <w:tcW w:type="dxa" w:w="2592"/>
          </w:tcPr>
          <w:p>
            <w:r/>
            <w:r>
              <w:rPr>
                <w:rFonts w:ascii="Times New Roman" w:hAnsi="Times New Roman"/>
                <w:sz w:val="20"/>
              </w:rPr>
              <w:t>Financing / Loan Documents</w:t>
            </w:r>
          </w:p>
        </w:tc>
        <w:tc>
          <w:tcPr>
            <w:tcW w:type="dxa" w:w="1872"/>
          </w:tcPr>
          <w:p>
            <w:r/>
            <w:r>
              <w:rPr>
                <w:rFonts w:ascii="Times New Roman" w:hAnsi="Times New Roman"/>
                <w:sz w:val="20"/>
              </w:rPr>
              <w:t>N/A</w:t>
            </w:r>
          </w:p>
        </w:tc>
        <w:tc>
          <w:tcPr>
            <w:tcW w:type="dxa" w:w="1872"/>
          </w:tcPr>
          <w:p>
            <w:r/>
            <w:r>
              <w:rPr>
                <w:rFonts w:ascii="Times New Roman" w:hAnsi="Times New Roman"/>
                <w:sz w:val="20"/>
              </w:rPr>
              <w:t>GC + CFO</w:t>
            </w:r>
          </w:p>
        </w:tc>
        <w:tc>
          <w:tcPr>
            <w:tcW w:type="dxa" w:w="1872"/>
          </w:tcPr>
          <w:p>
            <w:r/>
            <w:r>
              <w:rPr>
                <w:rFonts w:ascii="Times New Roman" w:hAnsi="Times New Roman"/>
                <w:sz w:val="20"/>
              </w:rPr>
              <w:t>GC + CEO</w:t>
            </w:r>
          </w:p>
        </w:tc>
        <w:tc>
          <w:tcPr>
            <w:tcW w:type="dxa" w:w="1152"/>
          </w:tcPr>
          <w:p>
            <w:r/>
            <w:r>
              <w:rPr>
                <w:rFonts w:ascii="Times New Roman" w:hAnsi="Times New Roman"/>
                <w:sz w:val="20"/>
              </w:rPr>
              <w:t>Board</w:t>
            </w:r>
          </w:p>
        </w:tc>
      </w:tr>
      <w:tr>
        <w:tc>
          <w:tcPr>
            <w:tcW w:type="dxa" w:w="2592"/>
          </w:tcPr>
          <w:p>
            <w:r/>
            <w:r>
              <w:rPr>
                <w:rFonts w:ascii="Times New Roman" w:hAnsi="Times New Roman"/>
                <w:sz w:val="20"/>
              </w:rPr>
              <w:t>Insurance Claim Settlement</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&gt; $[Y]</w:t>
            </w:r>
          </w:p>
        </w:tc>
        <w:tc>
          <w:tcPr>
            <w:tcW w:type="dxa" w:w="1152"/>
          </w:tcPr>
          <w:p>
            <w:r/>
            <w:r>
              <w:rPr>
                <w:rFonts w:ascii="Times New Roman" w:hAnsi="Times New Roman"/>
                <w:sz w:val="20"/>
              </w:rPr>
              <w:t>N/A</w:t>
            </w:r>
          </w:p>
        </w:tc>
      </w:tr>
    </w:tbl>
    <w:p/>
    <w:p>
      <w:pPr>
        <w:spacing w:after="120"/>
      </w:pPr>
      <w:r>
        <w:rPr>
          <w:rFonts w:ascii="Times New Roman" w:hAnsi="Times New Roman"/>
          <w:b/>
          <w:sz w:val="24"/>
        </w:rPr>
        <w:t>Notes:</w:t>
      </w:r>
    </w:p>
    <w:p>
      <w:pPr>
        <w:pStyle w:val="ListBullet"/>
      </w:pPr>
      <w:r>
        <w:rPr>
          <w:rFonts w:ascii="Times New Roman" w:hAnsi="Times New Roman"/>
          <w:sz w:val="24"/>
        </w:rPr>
        <w:t>Dollar thresholds denoted as $[X], $[Y], and $[Z] are to be established by executive leadership and populated prior to implementation.</w:t>
      </w:r>
    </w:p>
    <w:p>
      <w:pPr>
        <w:pStyle w:val="ListBullet"/>
      </w:pPr>
      <w:r>
        <w:rPr>
          <w:rFonts w:ascii="Times New Roman" w:hAnsi="Times New Roman"/>
          <w:sz w:val="24"/>
        </w:rPr>
        <w:t>All approvals must be documented in writing (email confirmation is acceptable for Tier 1 matters).</w:t>
      </w:r>
    </w:p>
    <w:p>
      <w:pPr>
        <w:pStyle w:val="ListBullet"/>
      </w:pPr>
      <w:r>
        <w:rPr>
          <w:rFonts w:ascii="Times New Roman" w:hAnsi="Times New Roman"/>
          <w:sz w:val="24"/>
        </w:rPr>
        <w:t>Emergency authority: In the absence of the General Counsel, the CEO may exercise Tier 1 and Tier 2 authority for time-sensitive matters, with subsequent documentation.</w:t>
      </w:r>
    </w:p>
    <w:p>
      <w:pPr>
        <w:pStyle w:val="ListBullet"/>
      </w:pPr>
      <w:r>
        <w:rPr>
          <w:rFonts w:ascii="Times New Roman" w:hAnsi="Times New Roman"/>
          <w:sz w:val="24"/>
        </w:rPr>
        <w:t>This matrix should be reviewed annually in conjunction with the Manual review (Section 13).</w:t>
      </w:r>
    </w:p>
    <w:p>
      <w:r>
        <w:br w:type="page"/>
      </w:r>
    </w:p>
    <w:p>
      <w:pPr>
        <w:spacing w:before="480" w:after="240"/>
      </w:pPr>
      <w:r>
        <w:rPr>
          <w:rFonts w:ascii="Times New Roman" w:hAnsi="Times New Roman"/>
          <w:b/>
          <w:sz w:val="24"/>
        </w:rPr>
        <w:t>ATTACHMENT B: LEGAL RISK DASHBOARD</w:t>
      </w:r>
    </w:p>
    <w:p>
      <w:pPr>
        <w:spacing w:after="120"/>
      </w:pPr>
      <w:r>
        <w:rPr>
          <w:rFonts w:ascii="Times New Roman" w:hAnsi="Times New Roman"/>
          <w:sz w:val="24"/>
        </w:rPr>
        <w:t>The Legal Risk Dashboard is a summary reporting tool designed for executive leadership and board-level consumption. It is prepared monthly by the Legal Department and distributed in advance of scheduled legal update meetings.</w:t>
      </w:r>
    </w:p>
    <w:p>
      <w:pPr>
        <w:spacing w:after="120"/>
      </w:pPr>
      <w:r>
        <w:rPr>
          <w:rFonts w:ascii="Times New Roman" w:hAnsi="Times New Roman"/>
          <w:b/>
          <w:sz w:val="24"/>
        </w:rPr>
        <w:t>Section 1: Active Matters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D9E2F3" w:val="clear"/>
          </w:tcPr>
          <w:p>
            <w:pPr>
              <w:jc w:val="center"/>
            </w:pPr>
            <w:r/>
            <w:r>
              <w:rPr>
                <w:rFonts w:ascii="Times New Roman" w:hAnsi="Times New Roman"/>
                <w:b/>
                <w:sz w:val="20"/>
              </w:rPr>
              <w:t>Category</w:t>
            </w:r>
          </w:p>
        </w:tc>
        <w:tc>
          <w:tcPr>
            <w:tcW w:type="dxa" w:w="1872"/>
            <w:shd w:fill="D9E2F3" w:val="clear"/>
          </w:tcPr>
          <w:p>
            <w:pPr>
              <w:jc w:val="center"/>
            </w:pPr>
            <w:r/>
            <w:r>
              <w:rPr>
                <w:rFonts w:ascii="Times New Roman" w:hAnsi="Times New Roman"/>
                <w:b/>
                <w:sz w:val="20"/>
              </w:rPr>
              <w:t>High Risk</w:t>
            </w:r>
          </w:p>
        </w:tc>
        <w:tc>
          <w:tcPr>
            <w:tcW w:type="dxa" w:w="1872"/>
            <w:shd w:fill="D9E2F3" w:val="clear"/>
          </w:tcPr>
          <w:p>
            <w:pPr>
              <w:jc w:val="center"/>
            </w:pPr>
            <w:r/>
            <w:r>
              <w:rPr>
                <w:rFonts w:ascii="Times New Roman" w:hAnsi="Times New Roman"/>
                <w:b/>
                <w:sz w:val="20"/>
              </w:rPr>
              <w:t>Medium Risk</w:t>
            </w:r>
          </w:p>
        </w:tc>
        <w:tc>
          <w:tcPr>
            <w:tcW w:type="dxa" w:w="1584"/>
            <w:shd w:fill="D9E2F3" w:val="clear"/>
          </w:tcPr>
          <w:p>
            <w:pPr>
              <w:jc w:val="center"/>
            </w:pPr>
            <w:r/>
            <w:r>
              <w:rPr>
                <w:rFonts w:ascii="Times New Roman" w:hAnsi="Times New Roman"/>
                <w:b/>
                <w:sz w:val="20"/>
              </w:rPr>
              <w:t>Low Risk</w:t>
            </w:r>
          </w:p>
        </w:tc>
        <w:tc>
          <w:tcPr>
            <w:tcW w:type="dxa" w:w="1440"/>
            <w:shd w:fill="D9E2F3" w:val="clear"/>
          </w:tcPr>
          <w:p>
            <w:pPr>
              <w:jc w:val="center"/>
            </w:pPr>
            <w:r/>
            <w:r>
              <w:rPr>
                <w:rFonts w:ascii="Times New Roman" w:hAnsi="Times New Roman"/>
                <w:b/>
                <w:sz w:val="20"/>
              </w:rPr>
              <w:t>Total</w:t>
            </w:r>
          </w:p>
        </w:tc>
      </w:tr>
      <w:tr>
        <w:tc>
          <w:tcPr>
            <w:tcW w:type="dxa" w:w="2592"/>
          </w:tcPr>
          <w:p>
            <w:r/>
            <w:r>
              <w:rPr>
                <w:rFonts w:ascii="Times New Roman" w:hAnsi="Times New Roman"/>
                <w:sz w:val="20"/>
              </w:rPr>
              <w:t>Litigation</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Tenant Defaults</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Bankruptcy</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Insurance Claims</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Regulatory</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Environmental</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TOTAL</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bl>
    <w:p/>
    <w:p>
      <w:pPr>
        <w:spacing w:after="120"/>
      </w:pPr>
      <w:r>
        <w:rPr>
          <w:rFonts w:ascii="Times New Roman" w:hAnsi="Times New Roman"/>
          <w:b/>
          <w:sz w:val="24"/>
        </w:rPr>
        <w:t>Section 2: Financial Exposure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D9E2F3" w:val="clear"/>
          </w:tcPr>
          <w:p>
            <w:pPr>
              <w:jc w:val="center"/>
            </w:pPr>
            <w:r/>
            <w:r>
              <w:rPr>
                <w:rFonts w:ascii="Times New Roman" w:hAnsi="Times New Roman"/>
                <w:b/>
                <w:sz w:val="20"/>
              </w:rPr>
              <w:t>Risk Level</w:t>
            </w:r>
          </w:p>
        </w:tc>
        <w:tc>
          <w:tcPr>
            <w:tcW w:type="dxa" w:w="2304"/>
            <w:shd w:fill="D9E2F3" w:val="clear"/>
          </w:tcPr>
          <w:p>
            <w:pPr>
              <w:jc w:val="center"/>
            </w:pPr>
            <w:r/>
            <w:r>
              <w:rPr>
                <w:rFonts w:ascii="Times New Roman" w:hAnsi="Times New Roman"/>
                <w:b/>
                <w:sz w:val="20"/>
              </w:rPr>
              <w:t>Number of Matters</w:t>
            </w:r>
          </w:p>
        </w:tc>
        <w:tc>
          <w:tcPr>
            <w:tcW w:type="dxa" w:w="2448"/>
            <w:shd w:fill="D9E2F3" w:val="clear"/>
          </w:tcPr>
          <w:p>
            <w:pPr>
              <w:jc w:val="center"/>
            </w:pPr>
            <w:r/>
            <w:r>
              <w:rPr>
                <w:rFonts w:ascii="Times New Roman" w:hAnsi="Times New Roman"/>
                <w:b/>
                <w:sz w:val="20"/>
              </w:rPr>
              <w:t>Estimated Exposure Range</w:t>
            </w:r>
          </w:p>
        </w:tc>
        <w:tc>
          <w:tcPr>
            <w:tcW w:type="dxa" w:w="2304"/>
            <w:shd w:fill="D9E2F3" w:val="clear"/>
          </w:tcPr>
          <w:p>
            <w:pPr>
              <w:jc w:val="center"/>
            </w:pPr>
            <w:r/>
            <w:r>
              <w:rPr>
                <w:rFonts w:ascii="Times New Roman" w:hAnsi="Times New Roman"/>
                <w:b/>
                <w:sz w:val="20"/>
              </w:rPr>
              <w:t>Current Reserves</w:t>
            </w:r>
          </w:p>
        </w:tc>
      </w:tr>
      <w:tr>
        <w:tc>
          <w:tcPr>
            <w:tcW w:type="dxa" w:w="2304"/>
          </w:tcPr>
          <w:p>
            <w:r/>
            <w:r>
              <w:rPr>
                <w:rFonts w:ascii="Times New Roman" w:hAnsi="Times New Roman"/>
                <w:sz w:val="20"/>
              </w:rPr>
              <w:t>High</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r>
        <w:tc>
          <w:tcPr>
            <w:tcW w:type="dxa" w:w="2304"/>
          </w:tcPr>
          <w:p>
            <w:r/>
            <w:r>
              <w:rPr>
                <w:rFonts w:ascii="Times New Roman" w:hAnsi="Times New Roman"/>
                <w:sz w:val="20"/>
              </w:rPr>
              <w:t>Medium</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r>
        <w:tc>
          <w:tcPr>
            <w:tcW w:type="dxa" w:w="2304"/>
          </w:tcPr>
          <w:p>
            <w:r/>
            <w:r>
              <w:rPr>
                <w:rFonts w:ascii="Times New Roman" w:hAnsi="Times New Roman"/>
                <w:sz w:val="20"/>
              </w:rPr>
              <w:t>Low</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r>
        <w:tc>
          <w:tcPr>
            <w:tcW w:type="dxa" w:w="2304"/>
          </w:tcPr>
          <w:p>
            <w:r/>
            <w:r>
              <w:rPr>
                <w:rFonts w:ascii="Times New Roman" w:hAnsi="Times New Roman"/>
                <w:sz w:val="20"/>
              </w:rPr>
              <w:t>TOTAL</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bl>
    <w:p/>
    <w:p>
      <w:pPr>
        <w:spacing w:after="120"/>
      </w:pPr>
      <w:r>
        <w:rPr>
          <w:rFonts w:ascii="Times New Roman" w:hAnsi="Times New Roman"/>
          <w:b/>
          <w:sz w:val="24"/>
        </w:rPr>
        <w:t>Section 3: Key Developments</w:t>
      </w:r>
    </w:p>
    <w:p>
      <w:pPr>
        <w:spacing w:after="120"/>
      </w:pPr>
      <w:r>
        <w:rPr>
          <w:rFonts w:ascii="Times New Roman" w:hAnsi="Times New Roman"/>
          <w:sz w:val="24"/>
        </w:rPr>
        <w:t>This section contains a narrative summary of material developments during the reporting period, including:</w:t>
      </w:r>
    </w:p>
    <w:p>
      <w:pPr>
        <w:pStyle w:val="ListBullet"/>
      </w:pPr>
      <w:r>
        <w:rPr>
          <w:rFonts w:ascii="Times New Roman" w:hAnsi="Times New Roman"/>
          <w:sz w:val="24"/>
        </w:rPr>
        <w:t>New matters opened</w:t>
      </w:r>
    </w:p>
    <w:p>
      <w:pPr>
        <w:pStyle w:val="ListBullet"/>
      </w:pPr>
      <w:r>
        <w:rPr>
          <w:rFonts w:ascii="Times New Roman" w:hAnsi="Times New Roman"/>
          <w:sz w:val="24"/>
        </w:rPr>
        <w:t>Matters resolved or settled</w:t>
      </w:r>
    </w:p>
    <w:p>
      <w:pPr>
        <w:pStyle w:val="ListBullet"/>
      </w:pPr>
      <w:r>
        <w:rPr>
          <w:rFonts w:ascii="Times New Roman" w:hAnsi="Times New Roman"/>
          <w:sz w:val="24"/>
        </w:rPr>
        <w:t>Significant changes in risk rating or exposure</w:t>
      </w:r>
    </w:p>
    <w:p>
      <w:pPr>
        <w:pStyle w:val="ListBullet"/>
      </w:pPr>
      <w:r>
        <w:rPr>
          <w:rFonts w:ascii="Times New Roman" w:hAnsi="Times New Roman"/>
          <w:sz w:val="24"/>
        </w:rPr>
        <w:t>Upcoming deadlines or decisions requiring executive action</w:t>
      </w:r>
    </w:p>
    <w:p>
      <w:pPr>
        <w:pStyle w:val="ListBullet"/>
      </w:pPr>
      <w:r>
        <w:rPr>
          <w:rFonts w:ascii="Times New Roman" w:hAnsi="Times New Roman"/>
          <w:sz w:val="24"/>
        </w:rPr>
        <w:t>Trends or recurring issues warranting attention</w:t>
      </w:r>
    </w:p>
    <w:p>
      <w:pPr>
        <w:spacing w:after="120"/>
      </w:pPr>
      <w:r>
        <w:rPr>
          <w:rFonts w:ascii="Times New Roman" w:hAnsi="Times New Roman"/>
          <w:b/>
          <w:sz w:val="24"/>
        </w:rPr>
        <w:t>Section 4: Legal Spend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D9E2F3" w:val="clear"/>
          </w:tcPr>
          <w:p>
            <w:pPr>
              <w:jc w:val="center"/>
            </w:pPr>
            <w:r/>
            <w:r>
              <w:rPr>
                <w:rFonts w:ascii="Times New Roman" w:hAnsi="Times New Roman"/>
                <w:b/>
                <w:sz w:val="20"/>
              </w:rPr>
              <w:t>Category</w:t>
            </w:r>
          </w:p>
        </w:tc>
        <w:tc>
          <w:tcPr>
            <w:tcW w:type="dxa" w:w="1872"/>
            <w:shd w:fill="D9E2F3" w:val="clear"/>
          </w:tcPr>
          <w:p>
            <w:pPr>
              <w:jc w:val="center"/>
            </w:pPr>
            <w:r/>
            <w:r>
              <w:rPr>
                <w:rFonts w:ascii="Times New Roman" w:hAnsi="Times New Roman"/>
                <w:b/>
                <w:sz w:val="20"/>
              </w:rPr>
              <w:t>YTD Actual</w:t>
            </w:r>
          </w:p>
        </w:tc>
        <w:tc>
          <w:tcPr>
            <w:tcW w:type="dxa" w:w="1872"/>
            <w:shd w:fill="D9E2F3" w:val="clear"/>
          </w:tcPr>
          <w:p>
            <w:pPr>
              <w:jc w:val="center"/>
            </w:pPr>
            <w:r/>
            <w:r>
              <w:rPr>
                <w:rFonts w:ascii="Times New Roman" w:hAnsi="Times New Roman"/>
                <w:b/>
                <w:sz w:val="20"/>
              </w:rPr>
              <w:t>YTD Budget</w:t>
            </w:r>
          </w:p>
        </w:tc>
        <w:tc>
          <w:tcPr>
            <w:tcW w:type="dxa" w:w="1584"/>
            <w:shd w:fill="D9E2F3" w:val="clear"/>
          </w:tcPr>
          <w:p>
            <w:pPr>
              <w:jc w:val="center"/>
            </w:pPr>
            <w:r/>
            <w:r>
              <w:rPr>
                <w:rFonts w:ascii="Times New Roman" w:hAnsi="Times New Roman"/>
                <w:b/>
                <w:sz w:val="20"/>
              </w:rPr>
              <w:t>Variance</w:t>
            </w:r>
          </w:p>
        </w:tc>
        <w:tc>
          <w:tcPr>
            <w:tcW w:type="dxa" w:w="1440"/>
            <w:shd w:fill="D9E2F3" w:val="clear"/>
          </w:tcPr>
          <w:p>
            <w:pPr>
              <w:jc w:val="center"/>
            </w:pPr>
            <w:r/>
            <w:r>
              <w:rPr>
                <w:rFonts w:ascii="Times New Roman" w:hAnsi="Times New Roman"/>
                <w:b/>
                <w:sz w:val="20"/>
              </w:rPr>
              <w:t>Forecast</w:t>
            </w:r>
          </w:p>
        </w:tc>
      </w:tr>
      <w:tr>
        <w:tc>
          <w:tcPr>
            <w:tcW w:type="dxa" w:w="2592"/>
          </w:tcPr>
          <w:p>
            <w:r/>
            <w:r>
              <w:rPr>
                <w:rFonts w:ascii="Times New Roman" w:hAnsi="Times New Roman"/>
                <w:sz w:val="20"/>
              </w:rPr>
              <w:t>Litigation</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r>
        <w:tc>
          <w:tcPr>
            <w:tcW w:type="dxa" w:w="2592"/>
          </w:tcPr>
          <w:p>
            <w:r/>
            <w:r>
              <w:rPr>
                <w:rFonts w:ascii="Times New Roman" w:hAnsi="Times New Roman"/>
                <w:sz w:val="20"/>
              </w:rPr>
              <w:t>Transactional</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r>
        <w:tc>
          <w:tcPr>
            <w:tcW w:type="dxa" w:w="2592"/>
          </w:tcPr>
          <w:p>
            <w:r/>
            <w:r>
              <w:rPr>
                <w:rFonts w:ascii="Times New Roman" w:hAnsi="Times New Roman"/>
                <w:sz w:val="20"/>
              </w:rPr>
              <w:t>Regulatory/Compliance</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r>
        <w:tc>
          <w:tcPr>
            <w:tcW w:type="dxa" w:w="2592"/>
          </w:tcPr>
          <w:p>
            <w:r/>
            <w:r>
              <w:rPr>
                <w:rFonts w:ascii="Times New Roman" w:hAnsi="Times New Roman"/>
                <w:sz w:val="20"/>
              </w:rPr>
              <w:t>TOTAL</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bl>
    <w:p/>
    <w:p>
      <w:pPr>
        <w:spacing w:after="120"/>
      </w:pPr>
      <w:r>
        <w:rPr>
          <w:rFonts w:ascii="Times New Roman" w:hAnsi="Times New Roman"/>
          <w:b/>
          <w:sz w:val="24"/>
        </w:rPr>
        <w:t>Section 5: Action Items</w:t>
      </w:r>
    </w:p>
    <w:p>
      <w:pPr>
        <w:spacing w:after="120"/>
      </w:pPr>
      <w:r>
        <w:rPr>
          <w:rFonts w:ascii="Times New Roman" w:hAnsi="Times New Roman"/>
          <w:sz w:val="24"/>
        </w:rPr>
        <w:t>Decisions or approvals requested from executive leadership or the Board, with recommended actions and deadlines.</w:t>
      </w:r>
    </w:p>
    <w:p>
      <w:r>
        <w:br w:type="page"/>
      </w:r>
    </w:p>
    <w:p>
      <w:pPr>
        <w:spacing w:before="480" w:after="240"/>
      </w:pPr>
      <w:r>
        <w:rPr>
          <w:rFonts w:ascii="Times New Roman" w:hAnsi="Times New Roman"/>
          <w:b/>
          <w:sz w:val="24"/>
        </w:rPr>
        <w:t>ATTACHMENT C: OUTSIDE COUNSEL BILLING GUIDELINES</w:t>
      </w:r>
    </w:p>
    <w:p>
      <w:pPr>
        <w:spacing w:after="120"/>
      </w:pPr>
      <w:r>
        <w:rPr>
          <w:rFonts w:ascii="Times New Roman" w:hAnsi="Times New Roman"/>
          <w:sz w:val="24"/>
        </w:rPr>
        <w:t>These guidelines apply to all outside counsel retained by PIR Industrial LLC (the “Company”). Outside counsel are expected to review and adhere to these guidelines as a condition of engagement. The Legal Department reserves the right to modify these guidelines at any time.</w:t>
      </w:r>
    </w:p>
    <w:p>
      <w:pPr>
        <w:spacing w:before="360" w:after="200"/>
      </w:pPr>
      <w:r>
        <w:rPr>
          <w:rFonts w:ascii="Times New Roman" w:hAnsi="Times New Roman"/>
          <w:b/>
          <w:sz w:val="24"/>
          <w:u w:val="single"/>
        </w:rPr>
        <w:t>1. Billing Rates</w:t>
      </w:r>
    </w:p>
    <w:p>
      <w:pPr>
        <w:pStyle w:val="ListBullet"/>
      </w:pPr>
      <w:r>
        <w:rPr>
          <w:rFonts w:ascii="Times New Roman" w:hAnsi="Times New Roman"/>
          <w:sz w:val="24"/>
        </w:rPr>
        <w:t>Rate schedules must be agreed upon in writing prior to commencement of work.</w:t>
      </w:r>
    </w:p>
    <w:p>
      <w:pPr>
        <w:pStyle w:val="ListBullet"/>
      </w:pPr>
      <w:r>
        <w:rPr>
          <w:rFonts w:ascii="Times New Roman" w:hAnsi="Times New Roman"/>
          <w:sz w:val="24"/>
        </w:rPr>
        <w:t>Annual rate increases, if any, must be approved in advance by the General Counsel.</w:t>
      </w:r>
    </w:p>
    <w:p>
      <w:pPr>
        <w:pStyle w:val="ListBullet"/>
      </w:pPr>
      <w:r>
        <w:rPr>
          <w:rFonts w:ascii="Times New Roman" w:hAnsi="Times New Roman"/>
          <w:sz w:val="24"/>
        </w:rPr>
        <w:t>Maximum hourly rates by level: Partner: $[X]/hr; Senior Associate: $[X]/hr; Associate: $[X]/hr; Paralegal: $[X]/hr.</w:t>
      </w:r>
    </w:p>
    <w:p>
      <w:pPr>
        <w:pStyle w:val="ListBullet"/>
      </w:pPr>
      <w:r>
        <w:rPr>
          <w:rFonts w:ascii="Times New Roman" w:hAnsi="Times New Roman"/>
          <w:sz w:val="24"/>
        </w:rPr>
        <w:t>Blended or alternative fee arrangements are encouraged for appropriate matters and must be approved by the General Counsel.</w:t>
      </w:r>
    </w:p>
    <w:p>
      <w:pPr>
        <w:spacing w:before="360" w:after="200"/>
      </w:pPr>
      <w:r>
        <w:rPr>
          <w:rFonts w:ascii="Times New Roman" w:hAnsi="Times New Roman"/>
          <w:b/>
          <w:sz w:val="24"/>
          <w:u w:val="single"/>
        </w:rPr>
        <w:t>2. Staffing Requirements</w:t>
      </w:r>
    </w:p>
    <w:p>
      <w:pPr>
        <w:pStyle w:val="ListBullet"/>
      </w:pPr>
      <w:r>
        <w:rPr>
          <w:rFonts w:ascii="Times New Roman" w:hAnsi="Times New Roman"/>
          <w:sz w:val="24"/>
        </w:rPr>
        <w:t>Matters must be staffed efficiently. The Company expects lean staffing appropriate to the complexity of the matter.</w:t>
      </w:r>
    </w:p>
    <w:p>
      <w:pPr>
        <w:pStyle w:val="ListBullet"/>
      </w:pPr>
      <w:r>
        <w:rPr>
          <w:rFonts w:ascii="Times New Roman" w:hAnsi="Times New Roman"/>
          <w:sz w:val="24"/>
        </w:rPr>
        <w:t>The responsible partner must be identified in the engagement letter and may not be changed without prior approval.</w:t>
      </w:r>
    </w:p>
    <w:p>
      <w:pPr>
        <w:pStyle w:val="ListBullet"/>
      </w:pPr>
      <w:r>
        <w:rPr>
          <w:rFonts w:ascii="Times New Roman" w:hAnsi="Times New Roman"/>
          <w:sz w:val="24"/>
        </w:rPr>
        <w:t>Work should be delegated to the lowest-cost attorney capable of performing it competently.</w:t>
      </w:r>
    </w:p>
    <w:p>
      <w:pPr>
        <w:pStyle w:val="ListBullet"/>
      </w:pPr>
      <w:r>
        <w:rPr>
          <w:rFonts w:ascii="Times New Roman" w:hAnsi="Times New Roman"/>
          <w:sz w:val="24"/>
        </w:rPr>
        <w:t>The Company will not pay for more than two attorneys attending the same deposition, hearing, or meeting without prior approval.</w:t>
      </w:r>
    </w:p>
    <w:p>
      <w:pPr>
        <w:pStyle w:val="ListBullet"/>
      </w:pPr>
      <w:r>
        <w:rPr>
          <w:rFonts w:ascii="Times New Roman" w:hAnsi="Times New Roman"/>
          <w:sz w:val="24"/>
        </w:rPr>
        <w:t>Summer associates and first-year associates may not bill time to Company matters without prior approval.</w:t>
      </w:r>
    </w:p>
    <w:p>
      <w:pPr>
        <w:spacing w:before="360" w:after="200"/>
      </w:pPr>
      <w:r>
        <w:rPr>
          <w:rFonts w:ascii="Times New Roman" w:hAnsi="Times New Roman"/>
          <w:b/>
          <w:sz w:val="24"/>
          <w:u w:val="single"/>
        </w:rPr>
        <w:t>3. Billing Format and Requirements</w:t>
      </w:r>
    </w:p>
    <w:p>
      <w:pPr>
        <w:pStyle w:val="ListBullet"/>
      </w:pPr>
      <w:r>
        <w:rPr>
          <w:rFonts w:ascii="Times New Roman" w:hAnsi="Times New Roman"/>
          <w:sz w:val="24"/>
        </w:rPr>
        <w:t>Invoices must be submitted monthly, within 45 days of the end of the billing period.</w:t>
      </w:r>
    </w:p>
    <w:p>
      <w:pPr>
        <w:pStyle w:val="ListBullet"/>
      </w:pPr>
      <w:r>
        <w:rPr>
          <w:rFonts w:ascii="Times New Roman" w:hAnsi="Times New Roman"/>
          <w:sz w:val="24"/>
        </w:rPr>
        <w:t>Each invoice must include: matter name and number, description of services by timekeeper, hours worked, hourly rate, and total fees.</w:t>
      </w:r>
    </w:p>
    <w:p>
      <w:pPr>
        <w:pStyle w:val="ListBullet"/>
      </w:pPr>
      <w:r>
        <w:rPr>
          <w:rFonts w:ascii="Times New Roman" w:hAnsi="Times New Roman"/>
          <w:sz w:val="24"/>
        </w:rPr>
        <w:t>Time entries must be recorded in increments of no greater than one-tenth (0.1) of an hour.</w:t>
      </w:r>
    </w:p>
    <w:p>
      <w:pPr>
        <w:pStyle w:val="ListBullet"/>
      </w:pPr>
      <w:r>
        <w:rPr>
          <w:rFonts w:ascii="Times New Roman" w:hAnsi="Times New Roman"/>
          <w:sz w:val="24"/>
        </w:rPr>
        <w:t>Block billing (grouping multiple tasks into a single time entry) is prohibited.</w:t>
      </w:r>
    </w:p>
    <w:p>
      <w:pPr>
        <w:pStyle w:val="ListBullet"/>
      </w:pPr>
      <w:r>
        <w:rPr>
          <w:rFonts w:ascii="Times New Roman" w:hAnsi="Times New Roman"/>
          <w:sz w:val="24"/>
        </w:rPr>
        <w:t>Vague descriptions (e.g., “research,” “review documents,” “attend to matter”) are not acceptable. Each entry must describe the specific work performed.</w:t>
      </w:r>
    </w:p>
    <w:p>
      <w:pPr>
        <w:spacing w:before="360" w:after="200"/>
      </w:pPr>
      <w:r>
        <w:rPr>
          <w:rFonts w:ascii="Times New Roman" w:hAnsi="Times New Roman"/>
          <w:b/>
          <w:sz w:val="24"/>
          <w:u w:val="single"/>
        </w:rPr>
        <w:t>4. Prohibited Charges</w:t>
      </w:r>
    </w:p>
    <w:p>
      <w:pPr>
        <w:spacing w:after="120"/>
      </w:pPr>
      <w:r>
        <w:rPr>
          <w:rFonts w:ascii="Times New Roman" w:hAnsi="Times New Roman"/>
          <w:sz w:val="24"/>
        </w:rPr>
        <w:t>The following charges will not be reimbursed:</w:t>
      </w:r>
    </w:p>
    <w:p>
      <w:pPr>
        <w:pStyle w:val="ListBullet"/>
      </w:pPr>
      <w:r>
        <w:rPr>
          <w:rFonts w:ascii="Times New Roman" w:hAnsi="Times New Roman"/>
          <w:sz w:val="24"/>
        </w:rPr>
        <w:t>Internal administrative and overhead costs (word processing, secretarial support, filing, copying for internal use)</w:t>
      </w:r>
    </w:p>
    <w:p>
      <w:pPr>
        <w:pStyle w:val="ListBullet"/>
      </w:pPr>
      <w:r>
        <w:rPr>
          <w:rFonts w:ascii="Times New Roman" w:hAnsi="Times New Roman"/>
          <w:sz w:val="24"/>
        </w:rPr>
        <w:t>Database or legal research service access fees (e.g., Westlaw, LexisNexis subscriptions)</w:t>
      </w:r>
    </w:p>
    <w:p>
      <w:pPr>
        <w:pStyle w:val="ListBullet"/>
      </w:pPr>
      <w:r>
        <w:rPr>
          <w:rFonts w:ascii="Times New Roman" w:hAnsi="Times New Roman"/>
          <w:sz w:val="24"/>
        </w:rPr>
        <w:t>Travel time (unless pre-approved in writing for out-of-jurisdiction matters)</w:t>
      </w:r>
    </w:p>
    <w:p>
      <w:pPr>
        <w:pStyle w:val="ListBullet"/>
      </w:pPr>
      <w:r>
        <w:rPr>
          <w:rFonts w:ascii="Times New Roman" w:hAnsi="Times New Roman"/>
          <w:sz w:val="24"/>
        </w:rPr>
        <w:t>First-class or business-class airfare</w:t>
      </w:r>
    </w:p>
    <w:p>
      <w:pPr>
        <w:pStyle w:val="ListBullet"/>
      </w:pPr>
      <w:r>
        <w:rPr>
          <w:rFonts w:ascii="Times New Roman" w:hAnsi="Times New Roman"/>
          <w:sz w:val="24"/>
        </w:rPr>
        <w:t>Alcohol</w:t>
      </w:r>
    </w:p>
    <w:p>
      <w:pPr>
        <w:pStyle w:val="ListBullet"/>
      </w:pPr>
      <w:r>
        <w:rPr>
          <w:rFonts w:ascii="Times New Roman" w:hAnsi="Times New Roman"/>
          <w:sz w:val="24"/>
        </w:rPr>
        <w:t>Charges for internal firm meetings, training, or professional development</w:t>
      </w:r>
    </w:p>
    <w:p>
      <w:pPr>
        <w:pStyle w:val="ListBullet"/>
      </w:pPr>
      <w:r>
        <w:rPr>
          <w:rFonts w:ascii="Times New Roman" w:hAnsi="Times New Roman"/>
          <w:sz w:val="24"/>
        </w:rPr>
        <w:t>Rush charges for printing, copying, or courier services not requested by the Company</w:t>
      </w:r>
    </w:p>
    <w:p>
      <w:pPr>
        <w:spacing w:before="360" w:after="200"/>
      </w:pPr>
      <w:r>
        <w:rPr>
          <w:rFonts w:ascii="Times New Roman" w:hAnsi="Times New Roman"/>
          <w:b/>
          <w:sz w:val="24"/>
          <w:u w:val="single"/>
        </w:rPr>
        <w:t>5. Expense Pre-Approval</w:t>
      </w:r>
    </w:p>
    <w:p>
      <w:pPr>
        <w:spacing w:after="120"/>
      </w:pPr>
      <w:r>
        <w:rPr>
          <w:rFonts w:ascii="Times New Roman" w:hAnsi="Times New Roman"/>
          <w:sz w:val="24"/>
        </w:rPr>
        <w:t>The following expenses require written pre-approval from the Department:</w:t>
      </w:r>
    </w:p>
    <w:p>
      <w:pPr>
        <w:pStyle w:val="ListBullet"/>
      </w:pPr>
      <w:r>
        <w:rPr>
          <w:rFonts w:ascii="Times New Roman" w:hAnsi="Times New Roman"/>
          <w:sz w:val="24"/>
        </w:rPr>
        <w:t>Expert witnesses and consultants</w:t>
      </w:r>
    </w:p>
    <w:p>
      <w:pPr>
        <w:pStyle w:val="ListBullet"/>
      </w:pPr>
      <w:r>
        <w:rPr>
          <w:rFonts w:ascii="Times New Roman" w:hAnsi="Times New Roman"/>
          <w:sz w:val="24"/>
        </w:rPr>
        <w:t>Travel and lodging</w:t>
      </w:r>
    </w:p>
    <w:p>
      <w:pPr>
        <w:pStyle w:val="ListBullet"/>
      </w:pPr>
      <w:r>
        <w:rPr>
          <w:rFonts w:ascii="Times New Roman" w:hAnsi="Times New Roman"/>
          <w:sz w:val="24"/>
        </w:rPr>
        <w:t>Outsourced discovery or document review services</w:t>
      </w:r>
    </w:p>
    <w:p>
      <w:pPr>
        <w:pStyle w:val="ListBullet"/>
      </w:pPr>
      <w:r>
        <w:rPr>
          <w:rFonts w:ascii="Times New Roman" w:hAnsi="Times New Roman"/>
          <w:sz w:val="24"/>
        </w:rPr>
        <w:t>Filing fees exceeding $1,000</w:t>
      </w:r>
    </w:p>
    <w:p>
      <w:pPr>
        <w:pStyle w:val="ListBullet"/>
      </w:pPr>
      <w:r>
        <w:rPr>
          <w:rFonts w:ascii="Times New Roman" w:hAnsi="Times New Roman"/>
          <w:sz w:val="24"/>
        </w:rPr>
        <w:t>Any single expense exceeding $2,500</w:t>
      </w:r>
    </w:p>
    <w:p>
      <w:pPr>
        <w:spacing w:before="360" w:after="200"/>
      </w:pPr>
      <w:r>
        <w:rPr>
          <w:rFonts w:ascii="Times New Roman" w:hAnsi="Times New Roman"/>
          <w:b/>
          <w:sz w:val="24"/>
          <w:u w:val="single"/>
        </w:rPr>
        <w:t>6. Matter Budgets</w:t>
      </w:r>
    </w:p>
    <w:p>
      <w:pPr>
        <w:pStyle w:val="ListBullet"/>
      </w:pPr>
      <w:r>
        <w:rPr>
          <w:rFonts w:ascii="Times New Roman" w:hAnsi="Times New Roman"/>
          <w:sz w:val="24"/>
        </w:rPr>
        <w:t>A matter budget is required at the outset of each engagement, broken down by phase of work.</w:t>
      </w:r>
    </w:p>
    <w:p>
      <w:pPr>
        <w:pStyle w:val="ListBullet"/>
      </w:pPr>
      <w:r>
        <w:rPr>
          <w:rFonts w:ascii="Times New Roman" w:hAnsi="Times New Roman"/>
          <w:sz w:val="24"/>
        </w:rPr>
        <w:t>The budget must be approved by the Department before substantive work begins.</w:t>
      </w:r>
    </w:p>
    <w:p>
      <w:pPr>
        <w:pStyle w:val="ListBullet"/>
      </w:pPr>
      <w:r>
        <w:rPr>
          <w:rFonts w:ascii="Times New Roman" w:hAnsi="Times New Roman"/>
          <w:sz w:val="24"/>
        </w:rPr>
        <w:t>If actual spend is projected to exceed the approved budget by more than 15%, outside counsel must notify the Department in writing and obtain approval for a revised budget before incurring additional charges.</w:t>
      </w:r>
    </w:p>
    <w:p>
      <w:pPr>
        <w:pStyle w:val="ListBullet"/>
      </w:pPr>
      <w:r>
        <w:rPr>
          <w:rFonts w:ascii="Times New Roman" w:hAnsi="Times New Roman"/>
          <w:sz w:val="24"/>
        </w:rPr>
        <w:t>Quarterly budget-to-actual reports must be submitted with each invoice.</w:t>
      </w:r>
    </w:p>
    <w:p>
      <w:pPr>
        <w:spacing w:before="360" w:after="200"/>
      </w:pPr>
      <w:r>
        <w:rPr>
          <w:rFonts w:ascii="Times New Roman" w:hAnsi="Times New Roman"/>
          <w:b/>
          <w:sz w:val="24"/>
          <w:u w:val="single"/>
        </w:rPr>
        <w:t>7. Reporting Requirements</w:t>
      </w:r>
    </w:p>
    <w:p>
      <w:pPr>
        <w:spacing w:after="120"/>
      </w:pPr>
      <w:r>
        <w:rPr>
          <w:rFonts w:ascii="Times New Roman" w:hAnsi="Times New Roman"/>
          <w:sz w:val="24"/>
        </w:rPr>
        <w:t>Outside counsel must provide:</w:t>
      </w:r>
    </w:p>
    <w:p>
      <w:pPr>
        <w:pStyle w:val="ListBullet"/>
      </w:pPr>
      <w:r>
        <w:rPr>
          <w:rFonts w:ascii="Times New Roman" w:hAnsi="Times New Roman"/>
          <w:sz w:val="24"/>
        </w:rPr>
        <w:t>Monthly status reports summarizing activity, developments, and next steps</w:t>
      </w:r>
    </w:p>
    <w:p>
      <w:pPr>
        <w:pStyle w:val="ListBullet"/>
      </w:pPr>
      <w:r>
        <w:rPr>
          <w:rFonts w:ascii="Times New Roman" w:hAnsi="Times New Roman"/>
          <w:sz w:val="24"/>
        </w:rPr>
        <w:t>Prompt notification of any material development (adverse ruling, settlement demand, deadline change)</w:t>
      </w:r>
    </w:p>
    <w:p>
      <w:pPr>
        <w:pStyle w:val="ListBullet"/>
      </w:pPr>
      <w:r>
        <w:rPr>
          <w:rFonts w:ascii="Times New Roman" w:hAnsi="Times New Roman"/>
          <w:sz w:val="24"/>
        </w:rPr>
        <w:t>Quarterly budget-to-actual analysis</w:t>
      </w:r>
    </w:p>
    <w:p>
      <w:pPr>
        <w:pStyle w:val="ListBullet"/>
      </w:pPr>
      <w:r>
        <w:rPr>
          <w:rFonts w:ascii="Times New Roman" w:hAnsi="Times New Roman"/>
          <w:sz w:val="24"/>
        </w:rPr>
        <w:t>Early case assessment within 30 days of engagement, including estimated exposure range, recommended strategy, and projected timeline</w:t>
      </w:r>
    </w:p>
    <w:p>
      <w:pPr>
        <w:spacing w:before="360" w:after="200"/>
      </w:pPr>
      <w:r>
        <w:rPr>
          <w:rFonts w:ascii="Times New Roman" w:hAnsi="Times New Roman"/>
          <w:b/>
          <w:sz w:val="24"/>
          <w:u w:val="single"/>
        </w:rPr>
        <w:t>8. Invoice Review and Payment</w:t>
      </w:r>
    </w:p>
    <w:p>
      <w:pPr>
        <w:pStyle w:val="ListBullet"/>
      </w:pPr>
      <w:r>
        <w:rPr>
          <w:rFonts w:ascii="Times New Roman" w:hAnsi="Times New Roman"/>
          <w:sz w:val="24"/>
        </w:rPr>
        <w:t>All invoices are subject to review and adjustment by the Department.</w:t>
      </w:r>
    </w:p>
    <w:p>
      <w:pPr>
        <w:pStyle w:val="ListBullet"/>
      </w:pPr>
      <w:r>
        <w:rPr>
          <w:rFonts w:ascii="Times New Roman" w:hAnsi="Times New Roman"/>
          <w:sz w:val="24"/>
        </w:rPr>
        <w:t>The Company reserves the right to reduce or reject charges that do not comply with these guidelines.</w:t>
      </w:r>
    </w:p>
    <w:p>
      <w:pPr>
        <w:pStyle w:val="ListBullet"/>
      </w:pPr>
      <w:r>
        <w:rPr>
          <w:rFonts w:ascii="Times New Roman" w:hAnsi="Times New Roman"/>
          <w:sz w:val="24"/>
        </w:rPr>
        <w:t>Payment terms are net 60 days from receipt of a compliant invoice.</w:t>
      </w:r>
    </w:p>
    <w:p>
      <w:pPr>
        <w:pStyle w:val="ListBullet"/>
      </w:pPr>
      <w:r>
        <w:rPr>
          <w:rFonts w:ascii="Times New Roman" w:hAnsi="Times New Roman"/>
          <w:sz w:val="24"/>
        </w:rPr>
        <w:t>Disputes regarding invoice adjustments will be resolved through discussion between the General Counsel and the responsible partner.</w:t>
      </w:r>
    </w:p>
    <w:p>
      <w:pPr>
        <w:spacing w:before="360" w:after="200"/>
      </w:pPr>
      <w:r>
        <w:rPr>
          <w:rFonts w:ascii="Times New Roman" w:hAnsi="Times New Roman"/>
          <w:b/>
          <w:sz w:val="24"/>
          <w:u w:val="single"/>
        </w:rPr>
        <w:t>9. Conflicts and Confidentiality</w:t>
      </w:r>
    </w:p>
    <w:p>
      <w:pPr>
        <w:pStyle w:val="ListBullet"/>
      </w:pPr>
      <w:r>
        <w:rPr>
          <w:rFonts w:ascii="Times New Roman" w:hAnsi="Times New Roman"/>
          <w:sz w:val="24"/>
        </w:rPr>
        <w:t>Outside counsel must disclose any actual or potential conflicts of interest prior to engagement.</w:t>
      </w:r>
    </w:p>
    <w:p>
      <w:pPr>
        <w:pStyle w:val="ListBullet"/>
      </w:pPr>
      <w:r>
        <w:rPr>
          <w:rFonts w:ascii="Times New Roman" w:hAnsi="Times New Roman"/>
          <w:sz w:val="24"/>
        </w:rPr>
        <w:t>All Company information must be treated as confidential and may not be disclosed without written authorization.</w:t>
      </w:r>
    </w:p>
    <w:p>
      <w:pPr>
        <w:pStyle w:val="ListBullet"/>
      </w:pPr>
      <w:r>
        <w:rPr>
          <w:rFonts w:ascii="Times New Roman" w:hAnsi="Times New Roman"/>
          <w:sz w:val="24"/>
        </w:rPr>
        <w:t>Outside counsel may not issue press releases, publish articles, or make public statements regarding Company matters without prior written consent.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666666"/>
        <w:sz w:val="18"/>
      </w:rPr>
      <w:t>PIR Industrial LLC – Legal Department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