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pPr>
      <w:r>
        <w:rPr>
          <w:rFonts w:ascii="Times New Roman" w:hAnsi="Times New Roman"/>
          <w:b/>
          <w:sz w:val="24"/>
        </w:rPr>
        <w:t>HOW TO USE THIS MANUAL</w:t>
      </w:r>
    </w:p>
    <w:p>
      <w:pPr>
        <w:spacing w:after="120"/>
      </w:pPr>
      <w:r>
        <w:rPr>
          <w:rFonts w:ascii="Times New Roman" w:hAnsi="Times New Roman"/>
          <w:sz w:val="24"/>
        </w:rPr>
        <w:t>This is the paralegal edition of the PIR Industrial LLC Legal Department Operations Manual. It covers the same 13 sections and 3 attachments as the full manual, but in plainer language.</w:t>
      </w:r>
    </w:p>
    <w:p>
      <w:pPr>
        <w:spacing w:after="120"/>
      </w:pPr>
      <w:r>
        <w:rPr>
          <w:rFonts w:ascii="Times New Roman" w:hAnsi="Times New Roman"/>
          <w:sz w:val="24"/>
        </w:rPr>
        <w:t>Quick terminology:</w:t>
      </w:r>
    </w:p>
    <w:p>
      <w:pPr>
        <w:pStyle w:val="ListBullet"/>
      </w:pPr>
      <w:r>
        <w:rPr>
          <w:rFonts w:ascii="Times New Roman" w:hAnsi="Times New Roman"/>
          <w:sz w:val="24"/>
        </w:rPr>
        <w:t>"Company" means PIR Industrial LLC.</w:t>
      </w:r>
    </w:p>
    <w:p>
      <w:pPr>
        <w:pStyle w:val="ListBullet"/>
      </w:pPr>
      <w:r>
        <w:rPr>
          <w:rFonts w:ascii="Times New Roman" w:hAnsi="Times New Roman"/>
          <w:sz w:val="24"/>
        </w:rPr>
        <w:t>"Department" or "Legal" means the Legal Department.</w:t>
      </w:r>
    </w:p>
    <w:p>
      <w:pPr>
        <w:pStyle w:val="ListBullet"/>
      </w:pPr>
      <w:r>
        <w:rPr>
          <w:rFonts w:ascii="Times New Roman" w:hAnsi="Times New Roman"/>
          <w:sz w:val="24"/>
        </w:rPr>
        <w:t>"Manual" means this document.</w:t>
      </w:r>
    </w:p>
    <w:p>
      <w:pPr>
        <w:pStyle w:val="ListBullet"/>
      </w:pPr>
      <w:r>
        <w:rPr>
          <w:rFonts w:ascii="Times New Roman" w:hAnsi="Times New Roman"/>
          <w:sz w:val="24"/>
        </w:rPr>
        <w:t>"Outside counsel" means law firms the Company hires.</w:t>
      </w:r>
    </w:p>
    <w:p>
      <w:pPr>
        <w:pStyle w:val="ListBullet"/>
      </w:pPr>
      <w:r>
        <w:rPr>
          <w:rFonts w:ascii="Times New Roman" w:hAnsi="Times New Roman"/>
          <w:sz w:val="24"/>
        </w:rPr>
        <w:t>"GC" means General Counsel. "CFO" means Chief Financial Officer. "CEO" means Chief Executive Officer.</w:t>
      </w:r>
    </w:p>
    <w:p>
      <w:pPr>
        <w:pStyle w:val="ListBullet"/>
      </w:pPr>
      <w:r>
        <w:rPr>
          <w:rFonts w:ascii="Times New Roman" w:hAnsi="Times New Roman"/>
          <w:sz w:val="24"/>
        </w:rPr>
        <w:t>"REIT" means Real Estate Investment Trust (a tax status the Company has elected).</w:t>
      </w:r>
    </w:p>
    <w:p>
      <w:pPr>
        <w:pStyle w:val="ListBullet"/>
      </w:pPr>
      <w:r>
        <w:rPr>
          <w:rFonts w:ascii="Times New Roman" w:hAnsi="Times New Roman"/>
          <w:sz w:val="24"/>
        </w:rPr>
        <w:t>"SharePoint" is where we collaborate on drafts. "ShareFile" is where we store signed documents.</w:t>
      </w:r>
    </w:p>
    <w:p>
      <w:pPr>
        <w:spacing w:after="120"/>
      </w:pPr>
      <w:r>
        <w:rPr>
          <w:rFonts w:ascii="Times New Roman" w:hAnsi="Times New Roman"/>
          <w:sz w:val="24"/>
        </w:rPr>
        <w:t>If something in this edition is unclear or conflicts with the full manual, the full manual controls. Ask the GC or your supervising attorney when in doubt.</w:t>
      </w:r>
    </w:p>
    <w:p>
      <w:r>
        <w:br w:type="page"/>
      </w:r>
    </w:p>
    <w:p>
      <w:pPr>
        <w:spacing w:before="480" w:after="240"/>
      </w:pPr>
      <w:r>
        <w:rPr>
          <w:rFonts w:ascii="Times New Roman" w:hAnsi="Times New Roman"/>
          <w:b/>
          <w:sz w:val="24"/>
        </w:rPr>
        <w:t>1. PURPOSE AND SCOPE</w:t>
      </w:r>
    </w:p>
    <w:p>
      <w:pPr>
        <w:spacing w:after="120"/>
      </w:pPr>
      <w:r>
        <w:rPr>
          <w:rFonts w:ascii="Times New Roman" w:hAnsi="Times New Roman"/>
          <w:sz w:val="24"/>
        </w:rPr>
        <w:t>This Manual tells Legal staff how to run legal matters at the Company. It covers what Legal does, how Legal works with other departments, and the steps to follow for common tasks.</w:t>
      </w:r>
    </w:p>
    <w:p>
      <w:pPr>
        <w:spacing w:after="120"/>
      </w:pPr>
      <w:r>
        <w:rPr>
          <w:rFonts w:ascii="Times New Roman" w:hAnsi="Times New Roman"/>
          <w:sz w:val="24"/>
        </w:rPr>
        <w:t>The goal is simple: give everyone in Legal a consistent playbook so business decisions get reliable legal support.</w:t>
      </w:r>
    </w:p>
    <w:p>
      <w:pPr>
        <w:spacing w:after="120"/>
      </w:pPr>
      <w:r>
        <w:rPr>
          <w:rFonts w:ascii="Times New Roman" w:hAnsi="Times New Roman"/>
          <w:sz w:val="24"/>
        </w:rPr>
        <w:t>The Company will update this Manual over time as tools, systems, and priorities change.</w:t>
      </w:r>
    </w:p>
    <w:p>
      <w:r>
        <w:br w:type="page"/>
      </w:r>
    </w:p>
    <w:p>
      <w:pPr>
        <w:spacing w:before="480" w:after="240"/>
      </w:pPr>
      <w:r>
        <w:rPr>
          <w:rFonts w:ascii="Times New Roman" w:hAnsi="Times New Roman"/>
          <w:b/>
          <w:sz w:val="24"/>
        </w:rPr>
        <w:t>2. OPERATING PRINCIPLES</w:t>
      </w:r>
    </w:p>
    <w:p>
      <w:pPr>
        <w:spacing w:after="120"/>
      </w:pPr>
      <w:r>
        <w:rPr>
          <w:rFonts w:ascii="Times New Roman" w:hAnsi="Times New Roman"/>
          <w:sz w:val="24"/>
        </w:rPr>
        <w:t>These principles guide how Legal works day to day. They cover how we balance speed with care, protect information, and work with other teams.</w:t>
      </w:r>
    </w:p>
    <w:p>
      <w:pPr>
        <w:spacing w:before="360" w:after="200"/>
      </w:pPr>
      <w:r>
        <w:rPr>
          <w:rFonts w:ascii="Times New Roman" w:hAnsi="Times New Roman"/>
          <w:b/>
          <w:sz w:val="24"/>
          <w:u w:val="single"/>
        </w:rPr>
        <w:t>Business Alignment</w:t>
      </w:r>
    </w:p>
    <w:p>
      <w:pPr>
        <w:spacing w:after="120"/>
      </w:pPr>
      <w:r>
        <w:rPr>
          <w:rFonts w:ascii="Times New Roman" w:hAnsi="Times New Roman"/>
          <w:sz w:val="24"/>
        </w:rPr>
        <w:t>Legal supports the business. We give practical advice that helps deals get done while protecting the Company.</w:t>
      </w:r>
    </w:p>
    <w:p>
      <w:pPr>
        <w:spacing w:after="120"/>
      </w:pPr>
      <w:r>
        <w:rPr>
          <w:rFonts w:ascii="Times New Roman" w:hAnsi="Times New Roman"/>
          <w:sz w:val="24"/>
        </w:rPr>
        <w:t>Know the business: understand the Company's priorities and portfolio before giving advice. Balance risk against getting things done.</w:t>
      </w:r>
    </w:p>
    <w:p>
      <w:pPr>
        <w:spacing w:before="360" w:after="200"/>
      </w:pPr>
      <w:r>
        <w:rPr>
          <w:rFonts w:ascii="Times New Roman" w:hAnsi="Times New Roman"/>
          <w:b/>
          <w:sz w:val="24"/>
          <w:u w:val="single"/>
        </w:rPr>
        <w:t>Speed with Discipline</w:t>
      </w:r>
    </w:p>
    <w:p>
      <w:pPr>
        <w:spacing w:after="120"/>
      </w:pPr>
      <w:r>
        <w:rPr>
          <w:rFonts w:ascii="Times New Roman" w:hAnsi="Times New Roman"/>
          <w:sz w:val="24"/>
        </w:rPr>
        <w:t>Leasing moves fast. Legal has to move fast too, without cutting corners.</w:t>
      </w:r>
    </w:p>
    <w:p>
      <w:pPr>
        <w:spacing w:after="120"/>
      </w:pPr>
      <w:r>
        <w:rPr>
          <w:rFonts w:ascii="Times New Roman" w:hAnsi="Times New Roman"/>
          <w:sz w:val="24"/>
        </w:rPr>
        <w:t>Respond quickly, but still check accuracy, track versions, and coordinate internally. Good workflows let us be fast and careful.</w:t>
      </w:r>
    </w:p>
    <w:p>
      <w:pPr>
        <w:spacing w:before="360" w:after="200"/>
      </w:pPr>
      <w:r>
        <w:rPr>
          <w:rFonts w:ascii="Times New Roman" w:hAnsi="Times New Roman"/>
          <w:b/>
          <w:sz w:val="24"/>
          <w:u w:val="single"/>
        </w:rPr>
        <w:t>Consistency and Standardization</w:t>
      </w:r>
    </w:p>
    <w:p>
      <w:pPr>
        <w:spacing w:after="120"/>
      </w:pPr>
      <w:r>
        <w:rPr>
          <w:rFonts w:ascii="Times New Roman" w:hAnsi="Times New Roman"/>
          <w:sz w:val="24"/>
        </w:rPr>
        <w:t>Follow the same procedures every time. Consistency keeps work reliable and makes it easy for others to know what to expect.</w:t>
      </w:r>
    </w:p>
    <w:p>
      <w:pPr>
        <w:spacing w:before="360" w:after="200"/>
      </w:pPr>
      <w:r>
        <w:rPr>
          <w:rFonts w:ascii="Times New Roman" w:hAnsi="Times New Roman"/>
          <w:b/>
          <w:sz w:val="24"/>
          <w:u w:val="single"/>
        </w:rPr>
        <w:t>Transparency and Risk Visibility</w:t>
      </w:r>
    </w:p>
    <w:p>
      <w:pPr>
        <w:spacing w:after="120"/>
      </w:pPr>
      <w:r>
        <w:rPr>
          <w:rFonts w:ascii="Times New Roman" w:hAnsi="Times New Roman"/>
          <w:sz w:val="24"/>
        </w:rPr>
        <w:t>Leadership needs to see legal risks. Legal uses trackers and reports to make risks visible.</w:t>
      </w:r>
    </w:p>
    <w:p>
      <w:pPr>
        <w:spacing w:after="120"/>
      </w:pPr>
      <w:r>
        <w:rPr>
          <w:rFonts w:ascii="Times New Roman" w:hAnsi="Times New Roman"/>
          <w:sz w:val="24"/>
        </w:rPr>
        <w:t>Spot risks early, write them down, and tell the right people in time. Clear reporting helps leaders decide and act.</w:t>
      </w:r>
    </w:p>
    <w:p>
      <w:pPr>
        <w:spacing w:before="360" w:after="200"/>
      </w:pPr>
      <w:r>
        <w:rPr>
          <w:rFonts w:ascii="Times New Roman" w:hAnsi="Times New Roman"/>
          <w:b/>
          <w:sz w:val="24"/>
          <w:u w:val="single"/>
        </w:rPr>
        <w:t>Centralized Document Management</w:t>
      </w:r>
    </w:p>
    <w:p>
      <w:pPr>
        <w:spacing w:after="120"/>
      </w:pPr>
      <w:r>
        <w:rPr>
          <w:rFonts w:ascii="Times New Roman" w:hAnsi="Times New Roman"/>
          <w:sz w:val="24"/>
        </w:rPr>
        <w:t>Store every legal document in Company systems: SharePoint for drafts in progress, ShareFile for signed documents.</w:t>
      </w:r>
    </w:p>
    <w:p>
      <w:pPr>
        <w:spacing w:after="120"/>
      </w:pPr>
      <w:r>
        <w:rPr>
          <w:rFonts w:ascii="Times New Roman" w:hAnsi="Times New Roman"/>
          <w:sz w:val="24"/>
        </w:rPr>
        <w:t>Do not save files to your laptop or personal cloud drives. Keep folders organized and follow the naming rules.</w:t>
      </w:r>
    </w:p>
    <w:p>
      <w:pPr>
        <w:spacing w:before="360" w:after="200"/>
      </w:pPr>
      <w:r>
        <w:rPr>
          <w:rFonts w:ascii="Times New Roman" w:hAnsi="Times New Roman"/>
          <w:b/>
          <w:sz w:val="24"/>
          <w:u w:val="single"/>
        </w:rPr>
        <w:t>Effective Collaboration</w:t>
      </w:r>
    </w:p>
    <w:p>
      <w:pPr>
        <w:spacing w:after="120"/>
      </w:pPr>
      <w:r>
        <w:rPr>
          <w:rFonts w:ascii="Times New Roman" w:hAnsi="Times New Roman"/>
          <w:sz w:val="24"/>
        </w:rPr>
        <w:t>Legal works closely with Asset Management, Finance, Property Management, and executive leadership.</w:t>
      </w:r>
    </w:p>
    <w:p>
      <w:pPr>
        <w:spacing w:after="120"/>
      </w:pPr>
      <w:r>
        <w:rPr>
          <w:rFonts w:ascii="Times New Roman" w:hAnsi="Times New Roman"/>
          <w:sz w:val="24"/>
        </w:rPr>
        <w:t>Communicate clearly, agree on timelines, and know who owns what. Legal advises; the business team owns the decision.</w:t>
      </w:r>
    </w:p>
    <w:p>
      <w:pPr>
        <w:spacing w:before="360" w:after="200"/>
      </w:pPr>
      <w:r>
        <w:rPr>
          <w:rFonts w:ascii="Times New Roman" w:hAnsi="Times New Roman"/>
          <w:b/>
          <w:sz w:val="24"/>
          <w:u w:val="single"/>
        </w:rPr>
        <w:t>Prudent Use of Outside Counsel</w:t>
      </w:r>
    </w:p>
    <w:p>
      <w:pPr>
        <w:spacing w:after="120"/>
      </w:pPr>
      <w:r>
        <w:rPr>
          <w:rFonts w:ascii="Times New Roman" w:hAnsi="Times New Roman"/>
          <w:sz w:val="24"/>
        </w:rPr>
        <w:t>Outside counsel fill gaps: specialized expertise, jurisdictions we don't cover, or extra capacity when we need it.</w:t>
      </w:r>
    </w:p>
    <w:p>
      <w:pPr>
        <w:spacing w:after="120"/>
      </w:pPr>
      <w:r>
        <w:rPr>
          <w:rFonts w:ascii="Times New Roman" w:hAnsi="Times New Roman"/>
          <w:sz w:val="24"/>
        </w:rPr>
        <w:t>Legal picks the firm, sets the scope, watches the work, and manages the bill. Outside counsel should act like part of our team and follow our billing guidelines.</w:t>
      </w:r>
    </w:p>
    <w:p>
      <w:pPr>
        <w:spacing w:before="360" w:after="200"/>
      </w:pPr>
      <w:r>
        <w:rPr>
          <w:rFonts w:ascii="Times New Roman" w:hAnsi="Times New Roman"/>
          <w:b/>
          <w:sz w:val="24"/>
          <w:u w:val="single"/>
        </w:rPr>
        <w:t>Continuous Improvement</w:t>
      </w:r>
    </w:p>
    <w:p>
      <w:pPr>
        <w:spacing w:after="120"/>
      </w:pPr>
      <w:r>
        <w:rPr>
          <w:rFonts w:ascii="Times New Roman" w:hAnsi="Times New Roman"/>
          <w:sz w:val="24"/>
        </w:rPr>
        <w:t>Keep looking for better ways to work: new tools, cleaner workflows, better templates.</w:t>
      </w:r>
    </w:p>
    <w:p>
      <w:pPr>
        <w:spacing w:after="120"/>
      </w:pPr>
      <w:r>
        <w:rPr>
          <w:rFonts w:ascii="Times New Roman" w:hAnsi="Times New Roman"/>
          <w:sz w:val="24"/>
        </w:rPr>
        <w:t>Evaluate technology that helps with documents, reporting, and data. Keep training materials up to date.</w:t>
      </w:r>
    </w:p>
    <w:p>
      <w:pPr>
        <w:spacing w:after="120"/>
      </w:pPr>
      <w:r>
        <w:rPr>
          <w:rFonts w:ascii="Times New Roman" w:hAnsi="Times New Roman"/>
          <w:sz w:val="24"/>
        </w:rPr>
        <w:t>Improvement keeps Legal effective as the Company grows.</w:t>
      </w:r>
    </w:p>
    <w:p>
      <w:pPr>
        <w:spacing w:before="360" w:after="200"/>
      </w:pPr>
      <w:r>
        <w:rPr>
          <w:rFonts w:ascii="Times New Roman" w:hAnsi="Times New Roman"/>
          <w:b/>
          <w:sz w:val="24"/>
          <w:u w:val="single"/>
        </w:rPr>
        <w:t>Accountability</w:t>
      </w:r>
    </w:p>
    <w:p>
      <w:pPr>
        <w:spacing w:after="120"/>
      </w:pPr>
      <w:r>
        <w:rPr>
          <w:rFonts w:ascii="Times New Roman" w:hAnsi="Times New Roman"/>
          <w:sz w:val="24"/>
        </w:rPr>
        <w:t>Every member of Legal is expected to use good judgment, act with integrity, and own their work.</w:t>
      </w:r>
    </w:p>
    <w:p>
      <w:pPr>
        <w:spacing w:after="120"/>
      </w:pPr>
      <w:r>
        <w:rPr>
          <w:rFonts w:ascii="Times New Roman" w:hAnsi="Times New Roman"/>
          <w:sz w:val="24"/>
        </w:rPr>
        <w:t>Keep confidences, follow the law, follow Company policies, and be honest about what you know and don't know.</w:t>
      </w:r>
    </w:p>
    <w:p>
      <w:r>
        <w:br w:type="page"/>
      </w:r>
    </w:p>
    <w:p>
      <w:pPr>
        <w:spacing w:before="480" w:after="240"/>
      </w:pPr>
      <w:r>
        <w:rPr>
          <w:rFonts w:ascii="Times New Roman" w:hAnsi="Times New Roman"/>
          <w:b/>
          <w:sz w:val="24"/>
        </w:rPr>
        <w:t>3. ROLES AND RESPONSIBILITIES</w:t>
      </w:r>
    </w:p>
    <w:p>
      <w:pPr>
        <w:spacing w:after="120"/>
      </w:pPr>
      <w:r>
        <w:rPr>
          <w:rFonts w:ascii="Times New Roman" w:hAnsi="Times New Roman"/>
          <w:sz w:val="24"/>
        </w:rPr>
        <w:t>Legal provides legal advice, drafts documents, and oversees risk. On some topics Legal is in charge; on others Legal advises and another department decides.</w:t>
      </w:r>
    </w:p>
    <w:p>
      <w:pPr>
        <w:spacing w:after="120"/>
      </w:pPr>
      <w:r>
        <w:rPr>
          <w:rFonts w:ascii="Times New Roman" w:hAnsi="Times New Roman"/>
          <w:sz w:val="24"/>
        </w:rPr>
        <w:t>The lists below show what Legal owns, what Legal advises on, and what Legal stays out of.</w:t>
      </w:r>
    </w:p>
    <w:p>
      <w:pPr>
        <w:spacing w:before="360" w:after="200"/>
      </w:pPr>
      <w:r>
        <w:rPr>
          <w:rFonts w:ascii="Times New Roman" w:hAnsi="Times New Roman"/>
          <w:b/>
          <w:sz w:val="24"/>
          <w:u w:val="single"/>
        </w:rPr>
        <w:t>What Legal Owns</w:t>
      </w:r>
    </w:p>
    <w:p>
      <w:pPr>
        <w:spacing w:after="120"/>
      </w:pPr>
      <w:r>
        <w:rPr>
          <w:rFonts w:ascii="Times New Roman" w:hAnsi="Times New Roman"/>
          <w:b/>
          <w:sz w:val="24"/>
        </w:rPr>
        <w:t>Lease Documents and Drafting</w:t>
      </w:r>
    </w:p>
    <w:p>
      <w:pPr>
        <w:pStyle w:val="ListBullet"/>
      </w:pPr>
      <w:r>
        <w:rPr>
          <w:rFonts w:ascii="Times New Roman" w:hAnsi="Times New Roman"/>
          <w:sz w:val="24"/>
        </w:rPr>
        <w:t>Draft and review leases and amendments.</w:t>
      </w:r>
    </w:p>
    <w:p>
      <w:pPr>
        <w:pStyle w:val="ListBullet"/>
      </w:pPr>
      <w:r>
        <w:rPr>
          <w:rFonts w:ascii="Times New Roman" w:hAnsi="Times New Roman"/>
          <w:sz w:val="24"/>
        </w:rPr>
        <w:t>Keep standard lease forms current.</w:t>
      </w:r>
    </w:p>
    <w:p>
      <w:pPr>
        <w:pStyle w:val="ListBullet"/>
      </w:pPr>
      <w:r>
        <w:rPr>
          <w:rFonts w:ascii="Times New Roman" w:hAnsi="Times New Roman"/>
          <w:sz w:val="24"/>
        </w:rPr>
        <w:t>Make sure documents match the approved business deal and protect the Company.</w:t>
      </w:r>
    </w:p>
    <w:p>
      <w:pPr>
        <w:pStyle w:val="ListBullet"/>
      </w:pPr>
      <w:r>
        <w:rPr>
          <w:rFonts w:ascii="Times New Roman" w:hAnsi="Times New Roman"/>
          <w:sz w:val="24"/>
        </w:rPr>
        <w:t>Manage internal review and keep track of versions.</w:t>
      </w:r>
    </w:p>
    <w:p>
      <w:pPr>
        <w:spacing w:after="120"/>
      </w:pPr>
      <w:r>
        <w:rPr>
          <w:rFonts w:ascii="Times New Roman" w:hAnsi="Times New Roman"/>
          <w:b/>
          <w:sz w:val="24"/>
        </w:rPr>
        <w:t>Litigation Oversight</w:t>
      </w:r>
    </w:p>
    <w:p>
      <w:pPr>
        <w:pStyle w:val="ListBullet"/>
      </w:pPr>
      <w:r>
        <w:rPr>
          <w:rFonts w:ascii="Times New Roman" w:hAnsi="Times New Roman"/>
          <w:sz w:val="24"/>
        </w:rPr>
        <w:t>Run the Company's lawsuits.</w:t>
      </w:r>
    </w:p>
    <w:p>
      <w:pPr>
        <w:pStyle w:val="ListBullet"/>
      </w:pPr>
      <w:r>
        <w:rPr>
          <w:rFonts w:ascii="Times New Roman" w:hAnsi="Times New Roman"/>
          <w:sz w:val="24"/>
        </w:rPr>
        <w:t>Pick and supervise outside counsel.</w:t>
      </w:r>
    </w:p>
    <w:p>
      <w:pPr>
        <w:pStyle w:val="ListBullet"/>
      </w:pPr>
      <w:r>
        <w:rPr>
          <w:rFonts w:ascii="Times New Roman" w:hAnsi="Times New Roman"/>
          <w:sz w:val="24"/>
        </w:rPr>
        <w:t>Set litigation strategy and settlement position with executive leadership.</w:t>
      </w:r>
    </w:p>
    <w:p>
      <w:pPr>
        <w:pStyle w:val="ListBullet"/>
      </w:pPr>
      <w:r>
        <w:rPr>
          <w:rFonts w:ascii="Times New Roman" w:hAnsi="Times New Roman"/>
          <w:sz w:val="24"/>
        </w:rPr>
        <w:t>Watch the budget and control spend.</w:t>
      </w:r>
    </w:p>
    <w:p>
      <w:pPr>
        <w:spacing w:after="120"/>
      </w:pPr>
      <w:r>
        <w:rPr>
          <w:rFonts w:ascii="Times New Roman" w:hAnsi="Times New Roman"/>
          <w:b/>
          <w:sz w:val="24"/>
        </w:rPr>
        <w:t>Outside Counsel Management</w:t>
      </w:r>
    </w:p>
    <w:p>
      <w:pPr>
        <w:pStyle w:val="ListBullet"/>
      </w:pPr>
      <w:r>
        <w:rPr>
          <w:rFonts w:ascii="Times New Roman" w:hAnsi="Times New Roman"/>
          <w:sz w:val="24"/>
        </w:rPr>
        <w:t>Maintain a panel of approved firms.</w:t>
      </w:r>
    </w:p>
    <w:p>
      <w:pPr>
        <w:pStyle w:val="ListBullet"/>
      </w:pPr>
      <w:r>
        <w:rPr>
          <w:rFonts w:ascii="Times New Roman" w:hAnsi="Times New Roman"/>
          <w:sz w:val="24"/>
        </w:rPr>
        <w:t>Send engagement letters and set the scope.</w:t>
      </w:r>
    </w:p>
    <w:p>
      <w:pPr>
        <w:pStyle w:val="ListBullet"/>
      </w:pPr>
      <w:r>
        <w:rPr>
          <w:rFonts w:ascii="Times New Roman" w:hAnsi="Times New Roman"/>
          <w:sz w:val="24"/>
        </w:rPr>
        <w:t>Review firm performance, staffing, and bills.</w:t>
      </w:r>
    </w:p>
    <w:p>
      <w:pPr>
        <w:pStyle w:val="ListBullet"/>
      </w:pPr>
      <w:r>
        <w:rPr>
          <w:rFonts w:ascii="Times New Roman" w:hAnsi="Times New Roman"/>
          <w:sz w:val="24"/>
        </w:rPr>
        <w:t>Enforce the Company's billing guidelines and reporting requirements.</w:t>
      </w:r>
    </w:p>
    <w:p>
      <w:pPr>
        <w:spacing w:after="120"/>
      </w:pPr>
      <w:r>
        <w:rPr>
          <w:rFonts w:ascii="Times New Roman" w:hAnsi="Times New Roman"/>
          <w:b/>
          <w:sz w:val="24"/>
        </w:rPr>
        <w:t>Legal Risk Tracking</w:t>
      </w:r>
    </w:p>
    <w:p>
      <w:pPr>
        <w:pStyle w:val="ListBullet"/>
      </w:pPr>
      <w:r>
        <w:rPr>
          <w:rFonts w:ascii="Times New Roman" w:hAnsi="Times New Roman"/>
          <w:sz w:val="24"/>
        </w:rPr>
        <w:t>Maintain the Legal Risk Tracker.</w:t>
      </w:r>
    </w:p>
    <w:p>
      <w:pPr>
        <w:pStyle w:val="ListBullet"/>
      </w:pPr>
      <w:r>
        <w:rPr>
          <w:rFonts w:ascii="Times New Roman" w:hAnsi="Times New Roman"/>
          <w:sz w:val="24"/>
        </w:rPr>
        <w:t>Identify risks across the portfolio.</w:t>
      </w:r>
    </w:p>
    <w:p>
      <w:pPr>
        <w:pStyle w:val="ListBullet"/>
      </w:pPr>
      <w:r>
        <w:rPr>
          <w:rFonts w:ascii="Times New Roman" w:hAnsi="Times New Roman"/>
          <w:sz w:val="24"/>
        </w:rPr>
        <w:t>Report material matters to executive leadership.</w:t>
      </w:r>
    </w:p>
    <w:p>
      <w:pPr>
        <w:pStyle w:val="ListBullet"/>
      </w:pPr>
      <w:r>
        <w:rPr>
          <w:rFonts w:ascii="Times New Roman" w:hAnsi="Times New Roman"/>
          <w:sz w:val="24"/>
        </w:rPr>
        <w:t>Recommend how to reduce risk.</w:t>
      </w:r>
    </w:p>
    <w:p>
      <w:pPr>
        <w:spacing w:after="120"/>
      </w:pPr>
      <w:r>
        <w:rPr>
          <w:rFonts w:ascii="Times New Roman" w:hAnsi="Times New Roman"/>
          <w:b/>
          <w:sz w:val="24"/>
        </w:rPr>
        <w:t>Corporate Governance and Entities</w:t>
      </w:r>
    </w:p>
    <w:p>
      <w:pPr>
        <w:pStyle w:val="ListBullet"/>
      </w:pPr>
      <w:r>
        <w:rPr>
          <w:rFonts w:ascii="Times New Roman" w:hAnsi="Times New Roman"/>
          <w:sz w:val="24"/>
        </w:rPr>
        <w:t>Keep entity records current.</w:t>
      </w:r>
    </w:p>
    <w:p>
      <w:pPr>
        <w:pStyle w:val="ListBullet"/>
      </w:pPr>
      <w:r>
        <w:rPr>
          <w:rFonts w:ascii="Times New Roman" w:hAnsi="Times New Roman"/>
          <w:sz w:val="24"/>
        </w:rPr>
        <w:t>Run governance processes for the Company and its subsidiaries.</w:t>
      </w:r>
    </w:p>
    <w:p>
      <w:pPr>
        <w:pStyle w:val="ListBullet"/>
      </w:pPr>
      <w:r>
        <w:rPr>
          <w:rFonts w:ascii="Times New Roman" w:hAnsi="Times New Roman"/>
          <w:sz w:val="24"/>
        </w:rPr>
        <w:t>Handle entity formation, dissolution, and restructurings.</w:t>
      </w:r>
    </w:p>
    <w:p>
      <w:pPr>
        <w:pStyle w:val="ListBullet"/>
      </w:pPr>
      <w:r>
        <w:rPr>
          <w:rFonts w:ascii="Times New Roman" w:hAnsi="Times New Roman"/>
          <w:sz w:val="24"/>
        </w:rPr>
        <w:t>Maintain org charts and ownership records.</w:t>
      </w:r>
    </w:p>
    <w:p>
      <w:pPr>
        <w:spacing w:after="120"/>
      </w:pPr>
      <w:r>
        <w:rPr>
          <w:rFonts w:ascii="Times New Roman" w:hAnsi="Times New Roman"/>
          <w:b/>
          <w:sz w:val="24"/>
        </w:rPr>
        <w:t>Policy and Compliance</w:t>
      </w:r>
    </w:p>
    <w:p>
      <w:pPr>
        <w:pStyle w:val="ListBullet"/>
      </w:pPr>
      <w:r>
        <w:rPr>
          <w:rFonts w:ascii="Times New Roman" w:hAnsi="Times New Roman"/>
          <w:sz w:val="24"/>
        </w:rPr>
        <w:t>Write and update internal legal policies.</w:t>
      </w:r>
    </w:p>
    <w:p>
      <w:pPr>
        <w:pStyle w:val="ListBullet"/>
      </w:pPr>
      <w:r>
        <w:rPr>
          <w:rFonts w:ascii="Times New Roman" w:hAnsi="Times New Roman"/>
          <w:sz w:val="24"/>
        </w:rPr>
        <w:t>Watch for new laws and regulations that affect the Company.</w:t>
      </w:r>
    </w:p>
    <w:p>
      <w:pPr>
        <w:pStyle w:val="ListBullet"/>
      </w:pPr>
      <w:r>
        <w:rPr>
          <w:rFonts w:ascii="Times New Roman" w:hAnsi="Times New Roman"/>
          <w:sz w:val="24"/>
        </w:rPr>
        <w:t>Advise other teams on compliance.</w:t>
      </w:r>
    </w:p>
    <w:p>
      <w:pPr>
        <w:spacing w:before="360" w:after="200"/>
      </w:pPr>
      <w:r>
        <w:rPr>
          <w:rFonts w:ascii="Times New Roman" w:hAnsi="Times New Roman"/>
          <w:b/>
          <w:sz w:val="24"/>
          <w:u w:val="single"/>
        </w:rPr>
        <w:t>Where Legal Advises</w:t>
      </w:r>
    </w:p>
    <w:p>
      <w:pPr>
        <w:spacing w:after="120"/>
      </w:pPr>
      <w:r>
        <w:rPr>
          <w:rFonts w:ascii="Times New Roman" w:hAnsi="Times New Roman"/>
          <w:b/>
          <w:sz w:val="24"/>
        </w:rPr>
        <w:t>Lease Negotiation (with Asset Management)</w:t>
      </w:r>
    </w:p>
    <w:p>
      <w:pPr>
        <w:pStyle w:val="ListBullet"/>
      </w:pPr>
      <w:r>
        <w:rPr>
          <w:rFonts w:ascii="Times New Roman" w:hAnsi="Times New Roman"/>
          <w:sz w:val="24"/>
        </w:rPr>
        <w:t>Flag legal implications of proposed terms.</w:t>
      </w:r>
    </w:p>
    <w:p>
      <w:pPr>
        <w:pStyle w:val="ListBullet"/>
      </w:pPr>
      <w:r>
        <w:rPr>
          <w:rFonts w:ascii="Times New Roman" w:hAnsi="Times New Roman"/>
          <w:sz w:val="24"/>
        </w:rPr>
        <w:t>Suggest ways to reduce risk.</w:t>
      </w:r>
    </w:p>
    <w:p>
      <w:pPr>
        <w:pStyle w:val="ListBullet"/>
      </w:pPr>
      <w:r>
        <w:rPr>
          <w:rFonts w:ascii="Times New Roman" w:hAnsi="Times New Roman"/>
          <w:sz w:val="24"/>
        </w:rPr>
        <w:t>Review tenant revisions.</w:t>
      </w:r>
    </w:p>
    <w:p>
      <w:pPr>
        <w:spacing w:after="120"/>
      </w:pPr>
      <w:r>
        <w:rPr>
          <w:rFonts w:ascii="Times New Roman" w:hAnsi="Times New Roman"/>
          <w:b/>
          <w:sz w:val="24"/>
        </w:rPr>
        <w:t>Tenant Defaults and Disputes (with Executive)</w:t>
      </w:r>
    </w:p>
    <w:p>
      <w:pPr>
        <w:pStyle w:val="ListBullet"/>
      </w:pPr>
      <w:r>
        <w:rPr>
          <w:rFonts w:ascii="Times New Roman" w:hAnsi="Times New Roman"/>
          <w:sz w:val="24"/>
        </w:rPr>
        <w:t>Default notice steps.</w:t>
      </w:r>
    </w:p>
    <w:p>
      <w:pPr>
        <w:pStyle w:val="ListBullet"/>
      </w:pPr>
      <w:r>
        <w:rPr>
          <w:rFonts w:ascii="Times New Roman" w:hAnsi="Times New Roman"/>
          <w:sz w:val="24"/>
        </w:rPr>
        <w:t>Options for enforcement.</w:t>
      </w:r>
    </w:p>
    <w:p>
      <w:pPr>
        <w:pStyle w:val="ListBullet"/>
      </w:pPr>
      <w:r>
        <w:rPr>
          <w:rFonts w:ascii="Times New Roman" w:hAnsi="Times New Roman"/>
          <w:sz w:val="24"/>
        </w:rPr>
        <w:t>Settlement considerations.</w:t>
      </w:r>
    </w:p>
    <w:p>
      <w:pPr>
        <w:pStyle w:val="ListBullet"/>
      </w:pPr>
      <w:r>
        <w:rPr>
          <w:rFonts w:ascii="Times New Roman" w:hAnsi="Times New Roman"/>
          <w:sz w:val="24"/>
        </w:rPr>
        <w:t>Litigation strategy if it escalates.</w:t>
      </w:r>
    </w:p>
    <w:p>
      <w:pPr>
        <w:spacing w:after="120"/>
      </w:pPr>
      <w:r>
        <w:rPr>
          <w:rFonts w:ascii="Times New Roman" w:hAnsi="Times New Roman"/>
          <w:b/>
          <w:sz w:val="24"/>
        </w:rPr>
        <w:t>Insurance Claims (with Asset Management)</w:t>
      </w:r>
    </w:p>
    <w:p>
      <w:pPr>
        <w:pStyle w:val="ListBullet"/>
      </w:pPr>
      <w:r>
        <w:rPr>
          <w:rFonts w:ascii="Times New Roman" w:hAnsi="Times New Roman"/>
          <w:sz w:val="24"/>
        </w:rPr>
        <w:t>Complicated coverage questions.</w:t>
      </w:r>
    </w:p>
    <w:p>
      <w:pPr>
        <w:pStyle w:val="ListBullet"/>
      </w:pPr>
      <w:r>
        <w:rPr>
          <w:rFonts w:ascii="Times New Roman" w:hAnsi="Times New Roman"/>
          <w:sz w:val="24"/>
        </w:rPr>
        <w:t>Disputes with insurers.</w:t>
      </w:r>
    </w:p>
    <w:p>
      <w:pPr>
        <w:pStyle w:val="ListBullet"/>
      </w:pPr>
      <w:r>
        <w:rPr>
          <w:rFonts w:ascii="Times New Roman" w:hAnsi="Times New Roman"/>
          <w:sz w:val="24"/>
        </w:rPr>
        <w:t>Lawsuits tied to claims.</w:t>
      </w:r>
    </w:p>
    <w:p>
      <w:pPr>
        <w:spacing w:after="120"/>
      </w:pPr>
      <w:r>
        <w:rPr>
          <w:rFonts w:ascii="Times New Roman" w:hAnsi="Times New Roman"/>
          <w:b/>
          <w:sz w:val="24"/>
        </w:rPr>
        <w:t>Transactional Work (with Executive, Finance, and Acquisitions)</w:t>
      </w:r>
    </w:p>
    <w:p>
      <w:pPr>
        <w:pStyle w:val="ListBullet"/>
      </w:pPr>
      <w:r>
        <w:rPr>
          <w:rFonts w:ascii="Times New Roman" w:hAnsi="Times New Roman"/>
          <w:sz w:val="24"/>
        </w:rPr>
        <w:t>Buying and selling properties.</w:t>
      </w:r>
    </w:p>
    <w:p>
      <w:pPr>
        <w:pStyle w:val="ListBullet"/>
      </w:pPr>
      <w:r>
        <w:rPr>
          <w:rFonts w:ascii="Times New Roman" w:hAnsi="Times New Roman"/>
          <w:sz w:val="24"/>
        </w:rPr>
        <w:t>Financing.</w:t>
      </w:r>
    </w:p>
    <w:p>
      <w:pPr>
        <w:pStyle w:val="ListBullet"/>
      </w:pPr>
      <w:r>
        <w:rPr>
          <w:rFonts w:ascii="Times New Roman" w:hAnsi="Times New Roman"/>
          <w:sz w:val="24"/>
        </w:rPr>
        <w:t>Joint ventures.</w:t>
      </w:r>
    </w:p>
    <w:p>
      <w:pPr>
        <w:pStyle w:val="ListBullet"/>
      </w:pPr>
      <w:r>
        <w:rPr>
          <w:rFonts w:ascii="Times New Roman" w:hAnsi="Times New Roman"/>
          <w:sz w:val="24"/>
        </w:rPr>
        <w:t>Material contracts.</w:t>
      </w:r>
    </w:p>
    <w:p>
      <w:pPr>
        <w:spacing w:before="360" w:after="200"/>
      </w:pPr>
      <w:r>
        <w:rPr>
          <w:rFonts w:ascii="Times New Roman" w:hAnsi="Times New Roman"/>
          <w:b/>
          <w:sz w:val="24"/>
          <w:u w:val="single"/>
        </w:rPr>
        <w:t>What Legal Does Not Own</w:t>
      </w:r>
    </w:p>
    <w:p>
      <w:pPr>
        <w:pStyle w:val="ListBullet"/>
      </w:pPr>
      <w:r>
        <w:rPr>
          <w:rFonts w:ascii="Times New Roman" w:hAnsi="Times New Roman"/>
          <w:sz w:val="24"/>
        </w:rPr>
        <w:t>Relationships with tenants, vendors, contractors, and property managers.</w:t>
      </w:r>
    </w:p>
    <w:p>
      <w:pPr>
        <w:pStyle w:val="ListBullet"/>
      </w:pPr>
      <w:r>
        <w:rPr>
          <w:rFonts w:ascii="Times New Roman" w:hAnsi="Times New Roman"/>
          <w:sz w:val="24"/>
        </w:rPr>
        <w:t>Rent collection and accounts receivable.</w:t>
      </w:r>
    </w:p>
    <w:p>
      <w:pPr>
        <w:pStyle w:val="ListBullet"/>
      </w:pPr>
      <w:r>
        <w:rPr>
          <w:rFonts w:ascii="Times New Roman" w:hAnsi="Times New Roman"/>
          <w:sz w:val="24"/>
        </w:rPr>
        <w:t>Property operations and maintenance.</w:t>
      </w:r>
    </w:p>
    <w:p>
      <w:pPr>
        <w:pStyle w:val="ListBullet"/>
      </w:pPr>
      <w:r>
        <w:rPr>
          <w:rFonts w:ascii="Times New Roman" w:hAnsi="Times New Roman"/>
          <w:sz w:val="24"/>
        </w:rPr>
        <w:t>Leasing strategy and market positioning.</w:t>
      </w:r>
    </w:p>
    <w:p>
      <w:pPr>
        <w:pStyle w:val="ListBullet"/>
      </w:pPr>
      <w:r>
        <w:rPr>
          <w:rFonts w:ascii="Times New Roman" w:hAnsi="Times New Roman"/>
          <w:sz w:val="24"/>
        </w:rPr>
        <w:t>Asset Management decisions about tenant concessions or pricing.</w:t>
      </w:r>
    </w:p>
    <w:p>
      <w:r>
        <w:br w:type="page"/>
      </w:r>
    </w:p>
    <w:p>
      <w:pPr>
        <w:spacing w:before="480" w:after="240"/>
      </w:pPr>
      <w:r>
        <w:rPr>
          <w:rFonts w:ascii="Times New Roman" w:hAnsi="Times New Roman"/>
          <w:b/>
          <w:sz w:val="24"/>
        </w:rPr>
        <w:t>4. INTAKE AND PRIORITIZATION</w:t>
      </w:r>
    </w:p>
    <w:p>
      <w:pPr>
        <w:spacing w:after="120"/>
      </w:pPr>
      <w:r>
        <w:rPr>
          <w:rFonts w:ascii="Times New Roman" w:hAnsi="Times New Roman"/>
          <w:sz w:val="24"/>
        </w:rPr>
        <w:t>Legal gets requests from Asset Management, Property Management, Finance, and executive leadership. Every request goes through a standard intake so nothing falls through the cracks.</w:t>
      </w:r>
    </w:p>
    <w:p>
      <w:pPr>
        <w:spacing w:after="120"/>
      </w:pPr>
      <w:r>
        <w:rPr>
          <w:rFonts w:ascii="Times New Roman" w:hAnsi="Times New Roman"/>
          <w:sz w:val="24"/>
        </w:rPr>
        <w:t>Why we do it this way:</w:t>
      </w:r>
    </w:p>
    <w:p>
      <w:pPr>
        <w:pStyle w:val="ListNumber"/>
      </w:pPr>
      <w:r>
        <w:rPr>
          <w:rFonts w:ascii="Times New Roman" w:hAnsi="Times New Roman"/>
          <w:sz w:val="24"/>
        </w:rPr>
        <w:t>Every request is logged and tracked.</w:t>
      </w:r>
    </w:p>
    <w:p>
      <w:pPr>
        <w:pStyle w:val="ListNumber"/>
      </w:pPr>
      <w:r>
        <w:rPr>
          <w:rFonts w:ascii="Times New Roman" w:hAnsi="Times New Roman"/>
          <w:sz w:val="24"/>
        </w:rPr>
        <w:t>Priorities are set by clear rules.</w:t>
      </w:r>
    </w:p>
    <w:p>
      <w:pPr>
        <w:pStyle w:val="ListNumber"/>
      </w:pPr>
      <w:r>
        <w:rPr>
          <w:rFonts w:ascii="Times New Roman" w:hAnsi="Times New Roman"/>
          <w:sz w:val="24"/>
        </w:rPr>
        <w:t>Leadership can see how busy Legal is.</w:t>
      </w:r>
    </w:p>
    <w:p>
      <w:pPr>
        <w:pStyle w:val="ListNumber"/>
      </w:pPr>
      <w:r>
        <w:rPr>
          <w:rFonts w:ascii="Times New Roman" w:hAnsi="Times New Roman"/>
          <w:sz w:val="24"/>
        </w:rPr>
        <w:t>Urgent matters (deadlines, revenue, legal rights) get attention first.</w:t>
      </w:r>
    </w:p>
    <w:p>
      <w:pPr>
        <w:spacing w:before="360" w:after="200"/>
      </w:pPr>
      <w:r>
        <w:rPr>
          <w:rFonts w:ascii="Times New Roman" w:hAnsi="Times New Roman"/>
          <w:b/>
          <w:sz w:val="24"/>
          <w:u w:val="single"/>
        </w:rPr>
        <w:t>How to Submit a Legal Request</w:t>
      </w:r>
    </w:p>
    <w:p>
      <w:pPr>
        <w:spacing w:after="120"/>
      </w:pPr>
      <w:r>
        <w:rPr>
          <w:rFonts w:ascii="Times New Roman" w:hAnsi="Times New Roman"/>
          <w:sz w:val="24"/>
        </w:rPr>
        <w:t>All leasing requests go through Salesforce (the Company's lease lifecycle platform).</w:t>
      </w:r>
    </w:p>
    <w:p>
      <w:pPr>
        <w:spacing w:after="120"/>
      </w:pPr>
      <w:r>
        <w:rPr>
          <w:rFonts w:ascii="Times New Roman" w:hAnsi="Times New Roman"/>
          <w:sz w:val="24"/>
        </w:rPr>
        <w:t>Salesforce automatically tells Legal when Asset Management asks for:</w:t>
      </w:r>
    </w:p>
    <w:p>
      <w:pPr>
        <w:pStyle w:val="ListBullet"/>
      </w:pPr>
      <w:r>
        <w:rPr>
          <w:rFonts w:ascii="Times New Roman" w:hAnsi="Times New Roman"/>
          <w:sz w:val="24"/>
        </w:rPr>
        <w:t>A new lease or amendment draft.</w:t>
      </w:r>
    </w:p>
    <w:p>
      <w:pPr>
        <w:pStyle w:val="ListBullet"/>
      </w:pPr>
      <w:r>
        <w:rPr>
          <w:rFonts w:ascii="Times New Roman" w:hAnsi="Times New Roman"/>
          <w:sz w:val="24"/>
        </w:rPr>
        <w:t>Review of a tenant's draft or amendment.</w:t>
      </w:r>
    </w:p>
    <w:p>
      <w:pPr>
        <w:pStyle w:val="ListBullet"/>
      </w:pPr>
      <w:r>
        <w:rPr>
          <w:rFonts w:ascii="Times New Roman" w:hAnsi="Times New Roman"/>
          <w:sz w:val="24"/>
        </w:rPr>
        <w:t>A tenant default notice.</w:t>
      </w:r>
    </w:p>
    <w:p>
      <w:pPr>
        <w:pStyle w:val="ListBullet"/>
      </w:pPr>
      <w:r>
        <w:rPr>
          <w:rFonts w:ascii="Times New Roman" w:hAnsi="Times New Roman"/>
          <w:sz w:val="24"/>
        </w:rPr>
        <w:t>Review of any other property document.</w:t>
      </w:r>
    </w:p>
    <w:p>
      <w:pPr>
        <w:spacing w:after="120"/>
      </w:pPr>
      <w:r>
        <w:rPr>
          <w:rFonts w:ascii="Times New Roman" w:hAnsi="Times New Roman"/>
          <w:sz w:val="24"/>
        </w:rPr>
        <w:t>Using Salesforce time-stamps the request, assigns an owner, and tracks it to the finish.</w:t>
      </w:r>
    </w:p>
    <w:p>
      <w:pPr>
        <w:spacing w:after="120"/>
      </w:pPr>
      <w:r>
        <w:rPr>
          <w:rFonts w:ascii="Times New Roman" w:hAnsi="Times New Roman"/>
          <w:sz w:val="24"/>
        </w:rPr>
        <w:t>When submitting, Asset Management enters:</w:t>
      </w:r>
    </w:p>
    <w:p>
      <w:pPr>
        <w:pStyle w:val="ListBullet"/>
      </w:pPr>
      <w:r>
        <w:rPr>
          <w:rFonts w:ascii="Times New Roman" w:hAnsi="Times New Roman"/>
          <w:sz w:val="24"/>
        </w:rPr>
        <w:t>Property name and address.</w:t>
      </w:r>
    </w:p>
    <w:p>
      <w:pPr>
        <w:pStyle w:val="ListBullet"/>
      </w:pPr>
      <w:r>
        <w:rPr>
          <w:rFonts w:ascii="Times New Roman" w:hAnsi="Times New Roman"/>
          <w:sz w:val="24"/>
        </w:rPr>
        <w:t>Tenant name.</w:t>
      </w:r>
    </w:p>
    <w:p>
      <w:pPr>
        <w:pStyle w:val="ListBullet"/>
      </w:pPr>
      <w:r>
        <w:rPr>
          <w:rFonts w:ascii="Times New Roman" w:hAnsi="Times New Roman"/>
          <w:sz w:val="24"/>
        </w:rPr>
        <w:t>Document type.</w:t>
      </w:r>
    </w:p>
    <w:p>
      <w:pPr>
        <w:pStyle w:val="ListBullet"/>
      </w:pPr>
      <w:r>
        <w:rPr>
          <w:rFonts w:ascii="Times New Roman" w:hAnsi="Times New Roman"/>
          <w:sz w:val="24"/>
        </w:rPr>
        <w:t>Whether this is a first draft or a tenant revision.</w:t>
      </w:r>
    </w:p>
    <w:p>
      <w:pPr>
        <w:pStyle w:val="ListBullet"/>
      </w:pPr>
      <w:r>
        <w:rPr>
          <w:rFonts w:ascii="Times New Roman" w:hAnsi="Times New Roman"/>
          <w:sz w:val="24"/>
        </w:rPr>
        <w:t>Lease or renewal start date (if any).</w:t>
      </w:r>
    </w:p>
    <w:p>
      <w:pPr>
        <w:pStyle w:val="ListBullet"/>
      </w:pPr>
      <w:r>
        <w:rPr>
          <w:rFonts w:ascii="Times New Roman" w:hAnsi="Times New Roman"/>
          <w:sz w:val="24"/>
        </w:rPr>
        <w:t>Total rent over the lease term.</w:t>
      </w:r>
    </w:p>
    <w:p>
      <w:pPr>
        <w:spacing w:after="120"/>
      </w:pPr>
      <w:r>
        <w:rPr>
          <w:rFonts w:ascii="Times New Roman" w:hAnsi="Times New Roman"/>
          <w:sz w:val="24"/>
        </w:rPr>
        <w:t>This info tells Legal how to prioritize and staff the request.</w:t>
      </w:r>
    </w:p>
    <w:p>
      <w:pPr>
        <w:spacing w:before="360" w:after="200"/>
      </w:pPr>
      <w:r>
        <w:rPr>
          <w:rFonts w:ascii="Times New Roman" w:hAnsi="Times New Roman"/>
          <w:b/>
          <w:sz w:val="24"/>
          <w:u w:val="single"/>
        </w:rPr>
        <w:t>How We Prioritize</w:t>
      </w:r>
    </w:p>
    <w:p>
      <w:pPr>
        <w:spacing w:after="120"/>
      </w:pPr>
      <w:r>
        <w:rPr>
          <w:rFonts w:ascii="Times New Roman" w:hAnsi="Times New Roman"/>
          <w:sz w:val="24"/>
        </w:rPr>
        <w:t>The head of Asset Management (and other authorized people) has the final say on lease priority. Over time, Salesforce should automate prioritization using the info above. Priority factors include:</w:t>
      </w:r>
    </w:p>
    <w:p>
      <w:pPr>
        <w:pStyle w:val="ListBullet"/>
      </w:pPr>
      <w:r>
        <w:rPr>
          <w:rFonts w:ascii="Times New Roman" w:hAnsi="Times New Roman"/>
          <w:sz w:val="24"/>
        </w:rPr>
        <w:t>Leases starting soon.</w:t>
      </w:r>
    </w:p>
    <w:p>
      <w:pPr>
        <w:pStyle w:val="ListBullet"/>
      </w:pPr>
      <w:r>
        <w:rPr>
          <w:rFonts w:ascii="Times New Roman" w:hAnsi="Times New Roman"/>
          <w:sz w:val="24"/>
        </w:rPr>
        <w:t>Big rent or strategic tenants.</w:t>
      </w:r>
    </w:p>
    <w:p>
      <w:pPr>
        <w:pStyle w:val="ListBullet"/>
      </w:pPr>
      <w:r>
        <w:rPr>
          <w:rFonts w:ascii="Times New Roman" w:hAnsi="Times New Roman"/>
          <w:sz w:val="24"/>
        </w:rPr>
        <w:t>Active tenant revisions (to keep the deal moving).</w:t>
      </w:r>
    </w:p>
    <w:p>
      <w:pPr>
        <w:pStyle w:val="ListBullet"/>
      </w:pPr>
      <w:r>
        <w:rPr>
          <w:rFonts w:ascii="Times New Roman" w:hAnsi="Times New Roman"/>
          <w:sz w:val="24"/>
        </w:rPr>
        <w:t>Hard-to-lease or strategically important properties.</w:t>
      </w:r>
    </w:p>
    <w:p>
      <w:pPr>
        <w:pStyle w:val="ListBullet"/>
      </w:pPr>
      <w:r>
        <w:rPr>
          <w:rFonts w:ascii="Times New Roman" w:hAnsi="Times New Roman"/>
          <w:sz w:val="24"/>
        </w:rPr>
        <w:t>Contractual, regulatory, or litigation deadlines.</w:t>
      </w:r>
    </w:p>
    <w:p>
      <w:pPr>
        <w:spacing w:after="120"/>
      </w:pPr>
      <w:r>
        <w:rPr>
          <w:rFonts w:ascii="Times New Roman" w:hAnsi="Times New Roman"/>
          <w:b/>
          <w:sz w:val="24"/>
        </w:rPr>
        <w:t>High priority:</w:t>
      </w:r>
    </w:p>
    <w:p>
      <w:pPr>
        <w:pStyle w:val="ListBullet"/>
      </w:pPr>
      <w:r>
        <w:rPr>
          <w:rFonts w:ascii="Times New Roman" w:hAnsi="Times New Roman"/>
          <w:sz w:val="24"/>
        </w:rPr>
        <w:t>New leases with a rent start date coming up.</w:t>
      </w:r>
    </w:p>
    <w:p>
      <w:pPr>
        <w:pStyle w:val="ListBullet"/>
      </w:pPr>
      <w:r>
        <w:rPr>
          <w:rFonts w:ascii="Times New Roman" w:hAnsi="Times New Roman"/>
          <w:sz w:val="24"/>
        </w:rPr>
        <w:t>Tenant revisions that need a fast turnaround.</w:t>
      </w:r>
    </w:p>
    <w:p>
      <w:pPr>
        <w:pStyle w:val="ListBullet"/>
      </w:pPr>
      <w:r>
        <w:rPr>
          <w:rFonts w:ascii="Times New Roman" w:hAnsi="Times New Roman"/>
          <w:sz w:val="24"/>
        </w:rPr>
        <w:t>Big revenue impact.</w:t>
      </w:r>
    </w:p>
    <w:p>
      <w:pPr>
        <w:pStyle w:val="ListBullet"/>
      </w:pPr>
      <w:r>
        <w:rPr>
          <w:rFonts w:ascii="Times New Roman" w:hAnsi="Times New Roman"/>
          <w:sz w:val="24"/>
        </w:rPr>
        <w:t>Legal deadlines or risk of losing a right by not acting.</w:t>
      </w:r>
    </w:p>
    <w:p>
      <w:pPr>
        <w:pStyle w:val="ListBullet"/>
      </w:pPr>
      <w:r>
        <w:rPr>
          <w:rFonts w:ascii="Times New Roman" w:hAnsi="Times New Roman"/>
          <w:sz w:val="24"/>
        </w:rPr>
        <w:t>Anything executive leadership escalates.</w:t>
      </w:r>
    </w:p>
    <w:p>
      <w:pPr>
        <w:spacing w:after="120"/>
      </w:pPr>
      <w:r>
        <w:rPr>
          <w:rFonts w:ascii="Times New Roman" w:hAnsi="Times New Roman"/>
          <w:sz w:val="24"/>
        </w:rPr>
        <w:t>Aim to respond in 1 to 2 business days, depending on complexity.</w:t>
      </w:r>
    </w:p>
    <w:p>
      <w:pPr>
        <w:spacing w:after="120"/>
      </w:pPr>
      <w:r>
        <w:rPr>
          <w:rFonts w:ascii="Times New Roman" w:hAnsi="Times New Roman"/>
          <w:b/>
          <w:sz w:val="24"/>
        </w:rPr>
        <w:t>Medium priority:</w:t>
      </w:r>
    </w:p>
    <w:p>
      <w:pPr>
        <w:pStyle w:val="ListBullet"/>
      </w:pPr>
      <w:r>
        <w:rPr>
          <w:rFonts w:ascii="Times New Roman" w:hAnsi="Times New Roman"/>
          <w:sz w:val="24"/>
        </w:rPr>
        <w:t>Amendments with no immediate start date.</w:t>
      </w:r>
    </w:p>
    <w:p>
      <w:pPr>
        <w:pStyle w:val="ListBullet"/>
      </w:pPr>
      <w:r>
        <w:rPr>
          <w:rFonts w:ascii="Times New Roman" w:hAnsi="Times New Roman"/>
          <w:sz w:val="24"/>
        </w:rPr>
        <w:t>Ongoing negotiations with no hard deadline.</w:t>
      </w:r>
    </w:p>
    <w:p>
      <w:pPr>
        <w:pStyle w:val="ListBullet"/>
      </w:pPr>
      <w:r>
        <w:rPr>
          <w:rFonts w:ascii="Times New Roman" w:hAnsi="Times New Roman"/>
          <w:sz w:val="24"/>
        </w:rPr>
        <w:t>Routine reviews (landlord lien waivers, NDAs, collateral access agreements, SNDAs, estoppels, etc.).</w:t>
      </w:r>
    </w:p>
    <w:p>
      <w:pPr>
        <w:spacing w:after="120"/>
      </w:pPr>
      <w:r>
        <w:rPr>
          <w:rFonts w:ascii="Times New Roman" w:hAnsi="Times New Roman"/>
          <w:sz w:val="24"/>
        </w:rPr>
        <w:t>These go through the normal queue.</w:t>
      </w:r>
    </w:p>
    <w:p>
      <w:pPr>
        <w:spacing w:after="120"/>
      </w:pPr>
      <w:r>
        <w:rPr>
          <w:rFonts w:ascii="Times New Roman" w:hAnsi="Times New Roman"/>
          <w:b/>
          <w:sz w:val="24"/>
        </w:rPr>
        <w:t>Low priority:</w:t>
      </w:r>
    </w:p>
    <w:p>
      <w:pPr>
        <w:pStyle w:val="ListBullet"/>
      </w:pPr>
      <w:r>
        <w:rPr>
          <w:rFonts w:ascii="Times New Roman" w:hAnsi="Times New Roman"/>
          <w:sz w:val="24"/>
        </w:rPr>
        <w:t>Housekeeping amendments.</w:t>
      </w:r>
    </w:p>
    <w:p>
      <w:pPr>
        <w:pStyle w:val="ListBullet"/>
      </w:pPr>
      <w:r>
        <w:rPr>
          <w:rFonts w:ascii="Times New Roman" w:hAnsi="Times New Roman"/>
          <w:sz w:val="24"/>
        </w:rPr>
        <w:t>Internal document reviews.</w:t>
      </w:r>
    </w:p>
    <w:p>
      <w:pPr>
        <w:pStyle w:val="ListBullet"/>
      </w:pPr>
      <w:r>
        <w:rPr>
          <w:rFonts w:ascii="Times New Roman" w:hAnsi="Times New Roman"/>
          <w:sz w:val="24"/>
        </w:rPr>
        <w:t>Information-only requests.</w:t>
      </w:r>
    </w:p>
    <w:p>
      <w:pPr>
        <w:pStyle w:val="ListBullet"/>
      </w:pPr>
      <w:r>
        <w:rPr>
          <w:rFonts w:ascii="Times New Roman" w:hAnsi="Times New Roman"/>
          <w:sz w:val="24"/>
        </w:rPr>
        <w:t>Long-term projects with no time pressure.</w:t>
      </w:r>
    </w:p>
    <w:p>
      <w:pPr>
        <w:spacing w:after="120"/>
      </w:pPr>
      <w:r>
        <w:rPr>
          <w:rFonts w:ascii="Times New Roman" w:hAnsi="Times New Roman"/>
          <w:sz w:val="24"/>
        </w:rPr>
        <w:t>Handle these when you have capacity.</w:t>
      </w:r>
    </w:p>
    <w:p>
      <w:pPr>
        <w:spacing w:before="360" w:after="200"/>
      </w:pPr>
      <w:r>
        <w:rPr>
          <w:rFonts w:ascii="Times New Roman" w:hAnsi="Times New Roman"/>
          <w:b/>
          <w:sz w:val="24"/>
          <w:u w:val="single"/>
        </w:rPr>
        <w:t>Legal Workflow Dashboard</w:t>
      </w:r>
    </w:p>
    <w:p>
      <w:pPr>
        <w:spacing w:after="120"/>
      </w:pPr>
      <w:r>
        <w:rPr>
          <w:rFonts w:ascii="Times New Roman" w:hAnsi="Times New Roman"/>
          <w:sz w:val="24"/>
        </w:rPr>
        <w:t>Salesforce rolls up all legal requests into one dashboard. It shows pending work, priority, owner, draft status, and expected finish date.</w:t>
      </w:r>
    </w:p>
    <w:p>
      <w:pPr>
        <w:spacing w:after="120"/>
      </w:pPr>
      <w:r>
        <w:rPr>
          <w:rFonts w:ascii="Times New Roman" w:hAnsi="Times New Roman"/>
          <w:sz w:val="24"/>
        </w:rPr>
        <w:t>The dashboard gives leadership a view of the pipeline and how work is flowing.</w:t>
      </w:r>
    </w:p>
    <w:p>
      <w:pPr>
        <w:spacing w:before="360" w:after="200"/>
      </w:pPr>
      <w:r>
        <w:rPr>
          <w:rFonts w:ascii="Times New Roman" w:hAnsi="Times New Roman"/>
          <w:b/>
          <w:sz w:val="24"/>
          <w:u w:val="single"/>
        </w:rPr>
        <w:t>Reviewing Priorities</w:t>
      </w:r>
    </w:p>
    <w:p>
      <w:pPr>
        <w:spacing w:after="120"/>
      </w:pPr>
      <w:r>
        <w:rPr>
          <w:rFonts w:ascii="Times New Roman" w:hAnsi="Times New Roman"/>
          <w:sz w:val="24"/>
        </w:rPr>
        <w:t>Legal and Asset Management should check open matters regularly to make sure priorities still fit the situation.</w:t>
      </w:r>
    </w:p>
    <w:p>
      <w:pPr>
        <w:spacing w:after="120"/>
      </w:pPr>
      <w:r>
        <w:rPr>
          <w:rFonts w:ascii="Times New Roman" w:hAnsi="Times New Roman"/>
          <w:sz w:val="24"/>
        </w:rPr>
        <w:t>Priorities usually follow the rules above, but sometimes business judgment calls for a change. Authorized people can override the standard priority when the Company's needs require it.</w:t>
      </w:r>
    </w:p>
    <w:p>
      <w:r>
        <w:br w:type="page"/>
      </w:r>
    </w:p>
    <w:p>
      <w:pPr>
        <w:spacing w:before="480" w:after="240"/>
      </w:pPr>
      <w:r>
        <w:rPr>
          <w:rFonts w:ascii="Times New Roman" w:hAnsi="Times New Roman"/>
          <w:b/>
          <w:sz w:val="24"/>
        </w:rPr>
        <w:t>5. LEASING PROCEDURES</w:t>
      </w:r>
    </w:p>
    <w:p>
      <w:pPr>
        <w:spacing w:after="120"/>
      </w:pPr>
      <w:r>
        <w:rPr>
          <w:rFonts w:ascii="Times New Roman" w:hAnsi="Times New Roman"/>
          <w:sz w:val="24"/>
        </w:rPr>
        <w:t>Leasing is a core part of the Company's business. Legal supports Asset Management on lease negotiations and documents and makes sure the Company is protected.</w:t>
      </w:r>
    </w:p>
    <w:p>
      <w:pPr>
        <w:spacing w:after="120"/>
      </w:pPr>
      <w:r>
        <w:rPr>
          <w:rFonts w:ascii="Times New Roman" w:hAnsi="Times New Roman"/>
          <w:sz w:val="24"/>
        </w:rPr>
        <w:t>This section covers:</w:t>
      </w:r>
    </w:p>
    <w:p>
      <w:pPr>
        <w:pStyle w:val="ListBullet"/>
      </w:pPr>
      <w:r>
        <w:rPr>
          <w:rFonts w:ascii="Times New Roman" w:hAnsi="Times New Roman"/>
          <w:sz w:val="24"/>
        </w:rPr>
        <w:t>How leases get drafted and reviewed.</w:t>
      </w:r>
    </w:p>
    <w:p>
      <w:pPr>
        <w:pStyle w:val="ListBullet"/>
      </w:pPr>
      <w:r>
        <w:rPr>
          <w:rFonts w:ascii="Times New Roman" w:hAnsi="Times New Roman"/>
          <w:sz w:val="24"/>
        </w:rPr>
        <w:t>How Legal and Asset Management work together.</w:t>
      </w:r>
    </w:p>
    <w:p>
      <w:pPr>
        <w:pStyle w:val="ListBullet"/>
      </w:pPr>
      <w:r>
        <w:rPr>
          <w:rFonts w:ascii="Times New Roman" w:hAnsi="Times New Roman"/>
          <w:sz w:val="24"/>
        </w:rPr>
        <w:t>How to manage document versions.</w:t>
      </w:r>
    </w:p>
    <w:p>
      <w:pPr>
        <w:pStyle w:val="ListBullet"/>
      </w:pPr>
      <w:r>
        <w:rPr>
          <w:rFonts w:ascii="Times New Roman" w:hAnsi="Times New Roman"/>
          <w:sz w:val="24"/>
        </w:rPr>
        <w:t>How drafts get circulated internally and to the tenant.</w:t>
      </w:r>
    </w:p>
    <w:p>
      <w:pPr>
        <w:spacing w:after="120"/>
      </w:pPr>
      <w:r>
        <w:rPr>
          <w:rFonts w:ascii="Times New Roman" w:hAnsi="Times New Roman"/>
          <w:sz w:val="24"/>
        </w:rPr>
        <w:t>The goal is accurate documents, smooth collaboration, and clear ownership.</w:t>
      </w:r>
    </w:p>
    <w:p>
      <w:pPr>
        <w:spacing w:before="360" w:after="200"/>
      </w:pPr>
      <w:r>
        <w:rPr>
          <w:rFonts w:ascii="Times New Roman" w:hAnsi="Times New Roman"/>
          <w:b/>
          <w:sz w:val="24"/>
          <w:u w:val="single"/>
        </w:rPr>
        <w:t>Leasing Workflow: The Steps</w:t>
      </w:r>
    </w:p>
    <w:p>
      <w:pPr>
        <w:spacing w:after="120"/>
      </w:pPr>
      <w:r>
        <w:rPr>
          <w:rFonts w:ascii="Times New Roman" w:hAnsi="Times New Roman"/>
          <w:sz w:val="24"/>
        </w:rPr>
        <w:t>A typical lease moves through these steps:</w:t>
      </w:r>
    </w:p>
    <w:p>
      <w:pPr>
        <w:pStyle w:val="ListNumber"/>
      </w:pPr>
      <w:r>
        <w:rPr>
          <w:rFonts w:ascii="Times New Roman" w:hAnsi="Times New Roman"/>
          <w:sz w:val="24"/>
        </w:rPr>
        <w:t>Asset Management sets up a SharePoint workspace for the deal. Draft documents (lease analysis, LOIs, etc.) go there for the deal team to review.</w:t>
      </w:r>
    </w:p>
    <w:p>
      <w:pPr>
        <w:pStyle w:val="ListNumber"/>
      </w:pPr>
      <w:r>
        <w:rPr>
          <w:rFonts w:ascii="Times New Roman" w:hAnsi="Times New Roman"/>
          <w:sz w:val="24"/>
        </w:rPr>
        <w:t>Asset Management submits the drafting or review request in Salesforce's Leasing Process system.</w:t>
      </w:r>
    </w:p>
    <w:p>
      <w:pPr>
        <w:pStyle w:val="ListNumber"/>
      </w:pPr>
      <w:r>
        <w:rPr>
          <w:rFonts w:ascii="Times New Roman" w:hAnsi="Times New Roman"/>
          <w:sz w:val="24"/>
        </w:rPr>
        <w:t>Legal drafts or reviews the document. If it's a tenant's draft, Asset Management first adds its comments and tracked changes in Word. Legal then edits and adds comments using the Word "@mention" feature. Use in-document comments, not email.</w:t>
      </w:r>
    </w:p>
    <w:p>
      <w:pPr>
        <w:pStyle w:val="ListNumber"/>
      </w:pPr>
      <w:r>
        <w:rPr>
          <w:rFonts w:ascii="Times New Roman" w:hAnsi="Times New Roman"/>
          <w:sz w:val="24"/>
        </w:rPr>
        <w:t>When internal review is done, Legal or Asset Management runs Word's "Compare" feature against the tenant's last version (if any), downloads a copy from SharePoint, and sends it to tenant counsel or the tenant. Asset Management updates Salesforce to show the deal is in negotiation.</w:t>
      </w:r>
    </w:p>
    <w:p>
      <w:pPr>
        <w:pStyle w:val="ListNumber"/>
      </w:pPr>
      <w:r>
        <w:rPr>
          <w:rFonts w:ascii="Times New Roman" w:hAnsi="Times New Roman"/>
          <w:sz w:val="24"/>
        </w:rPr>
        <w:t>Drafts get revised as negotiations continue. Save every internal and external version as a separate Word file using the naming rule below.</w:t>
      </w:r>
    </w:p>
    <w:p>
      <w:pPr>
        <w:pStyle w:val="ListNumber"/>
      </w:pPr>
      <w:r>
        <w:rPr>
          <w:rFonts w:ascii="Times New Roman" w:hAnsi="Times New Roman"/>
          <w:sz w:val="24"/>
        </w:rPr>
        <w:t>When the document is final, the Leasing Administrator in Asset Management handles signatures and saves the executed document in ShareFile (not SharePoint).</w:t>
      </w:r>
    </w:p>
    <w:p>
      <w:pPr>
        <w:spacing w:before="360" w:after="200"/>
      </w:pPr>
      <w:r>
        <w:rPr>
          <w:rFonts w:ascii="Times New Roman" w:hAnsi="Times New Roman"/>
          <w:b/>
          <w:sz w:val="24"/>
          <w:u w:val="single"/>
        </w:rPr>
        <w:t>What Asset Management Does</w:t>
      </w:r>
    </w:p>
    <w:p>
      <w:pPr>
        <w:spacing w:after="120"/>
      </w:pPr>
      <w:r>
        <w:rPr>
          <w:rFonts w:ascii="Times New Roman" w:hAnsi="Times New Roman"/>
          <w:sz w:val="24"/>
        </w:rPr>
        <w:t>Asset Management owns the business negotiation and the tenant or broker relationship.</w:t>
      </w:r>
    </w:p>
    <w:p>
      <w:pPr>
        <w:spacing w:after="120"/>
      </w:pPr>
      <w:r>
        <w:rPr>
          <w:rFonts w:ascii="Times New Roman" w:hAnsi="Times New Roman"/>
          <w:sz w:val="24"/>
        </w:rPr>
        <w:t>Asset Management's job:</w:t>
      </w:r>
    </w:p>
    <w:p>
      <w:pPr>
        <w:pStyle w:val="ListBullet"/>
      </w:pPr>
      <w:r>
        <w:rPr>
          <w:rFonts w:ascii="Times New Roman" w:hAnsi="Times New Roman"/>
          <w:sz w:val="24"/>
        </w:rPr>
        <w:t>Negotiate economic terms.</w:t>
      </w:r>
    </w:p>
    <w:p>
      <w:pPr>
        <w:pStyle w:val="ListBullet"/>
      </w:pPr>
      <w:r>
        <w:rPr>
          <w:rFonts w:ascii="Times New Roman" w:hAnsi="Times New Roman"/>
          <w:sz w:val="24"/>
        </w:rPr>
        <w:t>Work with the tenant and broker on business points.</w:t>
      </w:r>
    </w:p>
    <w:p>
      <w:pPr>
        <w:pStyle w:val="ListBullet"/>
      </w:pPr>
      <w:r>
        <w:rPr>
          <w:rFonts w:ascii="Times New Roman" w:hAnsi="Times New Roman"/>
          <w:sz w:val="24"/>
        </w:rPr>
        <w:t>Pass drafts between Legal, tenant, and broker.</w:t>
      </w:r>
    </w:p>
    <w:p>
      <w:pPr>
        <w:pStyle w:val="ListBullet"/>
      </w:pPr>
      <w:r>
        <w:rPr>
          <w:rFonts w:ascii="Times New Roman" w:hAnsi="Times New Roman"/>
          <w:sz w:val="24"/>
        </w:rPr>
        <w:t>Check that the final document matches the negotiated deal.</w:t>
      </w:r>
    </w:p>
    <w:p>
      <w:pPr>
        <w:spacing w:after="120"/>
      </w:pPr>
      <w:r>
        <w:rPr>
          <w:rFonts w:ascii="Times New Roman" w:hAnsi="Times New Roman"/>
          <w:sz w:val="24"/>
        </w:rPr>
        <w:t>Sometimes Asset Management drafts a business term directly, but Legal still has final sign-off. If timing doesn't allow Legal to review before sending, Asset Management can transmit the document, but must say in writing that Legal still has the right to review and revise.</w:t>
      </w:r>
    </w:p>
    <w:p>
      <w:pPr>
        <w:spacing w:after="120"/>
      </w:pPr>
      <w:r>
        <w:rPr>
          <w:rFonts w:ascii="Times New Roman" w:hAnsi="Times New Roman"/>
          <w:sz w:val="24"/>
        </w:rPr>
        <w:t>Legal's job:</w:t>
      </w:r>
    </w:p>
    <w:p>
      <w:pPr>
        <w:pStyle w:val="ListBullet"/>
      </w:pPr>
      <w:r>
        <w:rPr>
          <w:rFonts w:ascii="Times New Roman" w:hAnsi="Times New Roman"/>
          <w:sz w:val="24"/>
        </w:rPr>
        <w:t>Draft leases and amendments.</w:t>
      </w:r>
    </w:p>
    <w:p>
      <w:pPr>
        <w:pStyle w:val="ListBullet"/>
      </w:pPr>
      <w:r>
        <w:rPr>
          <w:rFonts w:ascii="Times New Roman" w:hAnsi="Times New Roman"/>
          <w:sz w:val="24"/>
        </w:rPr>
        <w:t>Review tenant-proposed forms.</w:t>
      </w:r>
    </w:p>
    <w:p>
      <w:pPr>
        <w:pStyle w:val="ListBullet"/>
      </w:pPr>
      <w:r>
        <w:rPr>
          <w:rFonts w:ascii="Times New Roman" w:hAnsi="Times New Roman"/>
          <w:sz w:val="24"/>
        </w:rPr>
        <w:t>Keep documents consistent with the Company's standard provisions.</w:t>
      </w:r>
    </w:p>
    <w:p>
      <w:pPr>
        <w:pStyle w:val="ListBullet"/>
      </w:pPr>
      <w:r>
        <w:rPr>
          <w:rFonts w:ascii="Times New Roman" w:hAnsi="Times New Roman"/>
          <w:sz w:val="24"/>
        </w:rPr>
        <w:t>Explain the legal impact of tenant or Asset Management revisions.</w:t>
      </w:r>
    </w:p>
    <w:p>
      <w:pPr>
        <w:pStyle w:val="ListBullet"/>
      </w:pPr>
      <w:r>
        <w:rPr>
          <w:rFonts w:ascii="Times New Roman" w:hAnsi="Times New Roman"/>
          <w:sz w:val="24"/>
        </w:rPr>
        <w:t>Track versions.</w:t>
      </w:r>
    </w:p>
    <w:p>
      <w:pPr>
        <w:pStyle w:val="ListBullet"/>
      </w:pPr>
      <w:r>
        <w:rPr>
          <w:rFonts w:ascii="Times New Roman" w:hAnsi="Times New Roman"/>
          <w:sz w:val="24"/>
        </w:rPr>
        <w:t>Coordinate internal review before anything goes to the tenant.</w:t>
      </w:r>
    </w:p>
    <w:p>
      <w:pPr>
        <w:spacing w:before="360" w:after="200"/>
      </w:pPr>
      <w:r>
        <w:rPr>
          <w:rFonts w:ascii="Times New Roman" w:hAnsi="Times New Roman"/>
          <w:b/>
          <w:sz w:val="24"/>
          <w:u w:val="single"/>
        </w:rPr>
        <w:t>SharePoint (Drafts in Progress)</w:t>
      </w:r>
    </w:p>
    <w:p>
      <w:pPr>
        <w:spacing w:after="120"/>
      </w:pPr>
      <w:r>
        <w:rPr>
          <w:rFonts w:ascii="Times New Roman" w:hAnsi="Times New Roman"/>
          <w:sz w:val="24"/>
        </w:rPr>
        <w:t>Every lease document under negotiation lives in that deal's SharePoint workspace.</w:t>
      </w:r>
    </w:p>
    <w:p>
      <w:pPr>
        <w:spacing w:after="120"/>
      </w:pPr>
      <w:r>
        <w:rPr>
          <w:rFonts w:ascii="Times New Roman" w:hAnsi="Times New Roman"/>
          <w:sz w:val="24"/>
        </w:rPr>
        <w:t>SharePoint gives us:</w:t>
      </w:r>
    </w:p>
    <w:p>
      <w:pPr>
        <w:pStyle w:val="ListBullet"/>
      </w:pPr>
      <w:r>
        <w:rPr>
          <w:rFonts w:ascii="Times New Roman" w:hAnsi="Times New Roman"/>
          <w:sz w:val="24"/>
        </w:rPr>
        <w:t>One place to store files.</w:t>
      </w:r>
    </w:p>
    <w:p>
      <w:pPr>
        <w:pStyle w:val="ListBullet"/>
      </w:pPr>
      <w:r>
        <w:rPr>
          <w:rFonts w:ascii="Times New Roman" w:hAnsi="Times New Roman"/>
          <w:sz w:val="24"/>
        </w:rPr>
        <w:t>Version history for an audit trail.</w:t>
      </w:r>
    </w:p>
    <w:p>
      <w:pPr>
        <w:pStyle w:val="ListBullet"/>
      </w:pPr>
      <w:r>
        <w:rPr>
          <w:rFonts w:ascii="Times New Roman" w:hAnsi="Times New Roman"/>
          <w:sz w:val="24"/>
        </w:rPr>
        <w:t>Shared editing with the deal team.</w:t>
      </w:r>
    </w:p>
    <w:p>
      <w:pPr>
        <w:pStyle w:val="ListBullet"/>
      </w:pPr>
      <w:r>
        <w:rPr>
          <w:rFonts w:ascii="Times New Roman" w:hAnsi="Times New Roman"/>
          <w:sz w:val="24"/>
        </w:rPr>
        <w:t>Document integrity (no stray copies).</w:t>
      </w:r>
    </w:p>
    <w:p>
      <w:pPr>
        <w:spacing w:after="120"/>
      </w:pPr>
      <w:r>
        <w:rPr>
          <w:rFonts w:ascii="Times New Roman" w:hAnsi="Times New Roman"/>
          <w:sz w:val="24"/>
        </w:rPr>
        <w:t>Centralizing documents means everyone works from the same current file.</w:t>
      </w:r>
    </w:p>
    <w:p>
      <w:pPr>
        <w:spacing w:before="360" w:after="200"/>
      </w:pPr>
      <w:r>
        <w:rPr>
          <w:rFonts w:ascii="Times New Roman" w:hAnsi="Times New Roman"/>
          <w:b/>
          <w:sz w:val="24"/>
          <w:u w:val="single"/>
        </w:rPr>
        <w:t>Document Naming</w:t>
      </w:r>
    </w:p>
    <w:p>
      <w:pPr>
        <w:spacing w:after="120"/>
      </w:pPr>
      <w:r>
        <w:rPr>
          <w:rFonts w:ascii="Times New Roman" w:hAnsi="Times New Roman"/>
          <w:sz w:val="24"/>
        </w:rPr>
        <w:t>Name every draft the same way so the team always knows what's what.</w:t>
      </w:r>
    </w:p>
    <w:p>
      <w:pPr>
        <w:spacing w:after="120"/>
      </w:pPr>
      <w:r>
        <w:rPr>
          <w:rFonts w:ascii="Times New Roman" w:hAnsi="Times New Roman"/>
          <w:sz w:val="24"/>
        </w:rPr>
        <w:t>Format:</w:t>
      </w:r>
    </w:p>
    <w:p>
      <w:pPr>
        <w:spacing w:after="120"/>
      </w:pPr>
      <w:r>
        <w:rPr>
          <w:rFonts w:ascii="Times New Roman" w:hAnsi="Times New Roman"/>
          <w:b/>
          <w:sz w:val="24"/>
        </w:rPr>
        <w:t>[Document Type] – [Tenant Name] – [Property Address] – PLYM Draft</w:t>
      </w:r>
    </w:p>
    <w:p>
      <w:pPr>
        <w:spacing w:after="120"/>
      </w:pPr>
      <w:r>
        <w:rPr>
          <w:rFonts w:ascii="Times New Roman" w:hAnsi="Times New Roman"/>
          <w:sz w:val="24"/>
        </w:rPr>
        <w:t>Number each version in order. The tenant's first proposed form is version 1 for internal review. The highest-numbered version is the current draft for sending out or for signature.</w:t>
      </w:r>
    </w:p>
    <w:p>
      <w:pPr>
        <w:spacing w:after="120"/>
      </w:pPr>
      <w:r>
        <w:rPr>
          <w:rFonts w:ascii="Times New Roman" w:hAnsi="Times New Roman"/>
          <w:i/>
          <w:sz w:val="24"/>
        </w:rPr>
        <w:t>Lease – ABC Logistics – 100 Industrial Drive – PLYM Draft v2</w:t>
      </w:r>
    </w:p>
    <w:p>
      <w:pPr>
        <w:spacing w:after="120"/>
      </w:pPr>
      <w:r>
        <w:rPr>
          <w:rFonts w:ascii="Times New Roman" w:hAnsi="Times New Roman"/>
          <w:i/>
          <w:sz w:val="24"/>
        </w:rPr>
        <w:t>Lease – ABC Logistics – 100 Industrial Drive – PLYM Draft v3</w:t>
      </w:r>
    </w:p>
    <w:p>
      <w:pPr>
        <w:spacing w:after="120"/>
      </w:pPr>
      <w:r>
        <w:rPr>
          <w:rFonts w:ascii="Times New Roman" w:hAnsi="Times New Roman"/>
          <w:sz w:val="24"/>
        </w:rPr>
        <w:t>Consistent names prevent mix-ups and make the latest version easy to spot.</w:t>
      </w:r>
    </w:p>
    <w:p>
      <w:pPr>
        <w:spacing w:before="360" w:after="200"/>
      </w:pPr>
      <w:r>
        <w:rPr>
          <w:rFonts w:ascii="Times New Roman" w:hAnsi="Times New Roman"/>
          <w:b/>
          <w:sz w:val="24"/>
          <w:u w:val="single"/>
        </w:rPr>
        <w:t>Tracked Changes</w:t>
      </w:r>
    </w:p>
    <w:p>
      <w:pPr>
        <w:spacing w:after="120"/>
      </w:pPr>
      <w:r>
        <w:rPr>
          <w:rFonts w:ascii="Times New Roman" w:hAnsi="Times New Roman"/>
          <w:sz w:val="24"/>
        </w:rPr>
        <w:t>Keep tracked changes on during negotiation so everyone can see what changed. Do not accept or strip changes before internal review is done. Before sending the draft to the tenant, resolve internal comments, delete them, then run a Word "Compare" against the tenant's last version so the recipient can see the diff clearly.</w:t>
      </w:r>
    </w:p>
    <w:p>
      <w:pPr>
        <w:spacing w:after="120"/>
      </w:pPr>
      <w:r>
        <w:rPr>
          <w:rFonts w:ascii="Times New Roman" w:hAnsi="Times New Roman"/>
          <w:sz w:val="24"/>
        </w:rPr>
        <w:t>Tracked changes keep the negotiation transparent and efficient.</w:t>
      </w:r>
    </w:p>
    <w:p>
      <w:pPr>
        <w:spacing w:before="360" w:after="200"/>
      </w:pPr>
      <w:r>
        <w:rPr>
          <w:rFonts w:ascii="Times New Roman" w:hAnsi="Times New Roman"/>
          <w:b/>
          <w:sz w:val="24"/>
          <w:u w:val="single"/>
        </w:rPr>
        <w:t>Improving Lease Forms Over Time</w:t>
      </w:r>
    </w:p>
    <w:p>
      <w:pPr>
        <w:spacing w:after="120"/>
      </w:pPr>
      <w:r>
        <w:rPr>
          <w:rFonts w:ascii="Times New Roman" w:hAnsi="Times New Roman"/>
          <w:sz w:val="24"/>
        </w:rPr>
        <w:t>Legal periodically reviews leasing activity to improve standard forms and negotiation habits.</w:t>
      </w:r>
    </w:p>
    <w:p>
      <w:pPr>
        <w:spacing w:after="120"/>
      </w:pPr>
      <w:r>
        <w:rPr>
          <w:rFonts w:ascii="Times New Roman" w:hAnsi="Times New Roman"/>
          <w:sz w:val="24"/>
        </w:rPr>
        <w:t>Review topics include:</w:t>
      </w:r>
    </w:p>
    <w:p>
      <w:pPr>
        <w:pStyle w:val="ListBullet"/>
      </w:pPr>
      <w:r>
        <w:rPr>
          <w:rFonts w:ascii="Times New Roman" w:hAnsi="Times New Roman"/>
          <w:sz w:val="24"/>
        </w:rPr>
        <w:t>Terms tenants push back on most.</w:t>
      </w:r>
    </w:p>
    <w:p>
      <w:pPr>
        <w:pStyle w:val="ListBullet"/>
      </w:pPr>
      <w:r>
        <w:rPr>
          <w:rFonts w:ascii="Times New Roman" w:hAnsi="Times New Roman"/>
          <w:sz w:val="24"/>
        </w:rPr>
        <w:t>Recurring tenant concerns.</w:t>
      </w:r>
    </w:p>
    <w:p>
      <w:pPr>
        <w:pStyle w:val="ListBullet"/>
      </w:pPr>
      <w:r>
        <w:rPr>
          <w:rFonts w:ascii="Times New Roman" w:hAnsi="Times New Roman"/>
          <w:sz w:val="24"/>
        </w:rPr>
        <w:t>New laws affecting lease provisions.</w:t>
      </w:r>
    </w:p>
    <w:p>
      <w:pPr>
        <w:pStyle w:val="ListBullet"/>
      </w:pPr>
      <w:r>
        <w:rPr>
          <w:rFonts w:ascii="Times New Roman" w:hAnsi="Times New Roman"/>
          <w:sz w:val="24"/>
        </w:rPr>
        <w:t>Feedback from Asset Management.</w:t>
      </w:r>
    </w:p>
    <w:p>
      <w:pPr>
        <w:spacing w:after="120"/>
      </w:pPr>
      <w:r>
        <w:rPr>
          <w:rFonts w:ascii="Times New Roman" w:hAnsi="Times New Roman"/>
          <w:sz w:val="24"/>
        </w:rPr>
        <w:t>These reviews keep our documents current with the market, operations, and risk.</w:t>
      </w:r>
    </w:p>
    <w:p>
      <w:r>
        <w:br w:type="page"/>
      </w:r>
    </w:p>
    <w:p>
      <w:pPr>
        <w:spacing w:before="480" w:after="240"/>
      </w:pPr>
      <w:r>
        <w:rPr>
          <w:rFonts w:ascii="Times New Roman" w:hAnsi="Times New Roman"/>
          <w:b/>
          <w:sz w:val="24"/>
        </w:rPr>
        <w:t>6. LITIGATION AND OUTSIDE COUNSEL</w:t>
      </w:r>
    </w:p>
    <w:p>
      <w:pPr>
        <w:spacing w:after="120"/>
      </w:pPr>
      <w:r>
        <w:rPr>
          <w:rFonts w:ascii="Times New Roman" w:hAnsi="Times New Roman"/>
          <w:sz w:val="24"/>
        </w:rPr>
        <w:t>Legal runs all Company litigation and disputes. That means managing risk, picking and supervising outside counsel, controlling legal spend, and keeping strategy in line with business goals.</w:t>
      </w:r>
    </w:p>
    <w:p>
      <w:pPr>
        <w:spacing w:after="120"/>
      </w:pPr>
      <w:r>
        <w:rPr>
          <w:rFonts w:ascii="Times New Roman" w:hAnsi="Times New Roman"/>
          <w:sz w:val="24"/>
        </w:rPr>
        <w:t>The procedures below:</w:t>
      </w:r>
    </w:p>
    <w:p>
      <w:pPr>
        <w:pStyle w:val="ListBullet"/>
      </w:pPr>
      <w:r>
        <w:rPr>
          <w:rFonts w:ascii="Times New Roman" w:hAnsi="Times New Roman"/>
          <w:sz w:val="24"/>
        </w:rPr>
        <w:t>Keep litigation centrally managed.</w:t>
      </w:r>
    </w:p>
    <w:p>
      <w:pPr>
        <w:pStyle w:val="ListBullet"/>
      </w:pPr>
      <w:r>
        <w:rPr>
          <w:rFonts w:ascii="Times New Roman" w:hAnsi="Times New Roman"/>
          <w:sz w:val="24"/>
        </w:rPr>
        <w:t>Give leadership a clear picture of legal exposure.</w:t>
      </w:r>
    </w:p>
    <w:p>
      <w:pPr>
        <w:pStyle w:val="ListBullet"/>
      </w:pPr>
      <w:r>
        <w:rPr>
          <w:rFonts w:ascii="Times New Roman" w:hAnsi="Times New Roman"/>
          <w:sz w:val="24"/>
        </w:rPr>
        <w:t>Keep outside counsel cost-effective.</w:t>
      </w:r>
    </w:p>
    <w:p>
      <w:pPr>
        <w:pStyle w:val="ListBullet"/>
      </w:pPr>
      <w:r>
        <w:rPr>
          <w:rFonts w:ascii="Times New Roman" w:hAnsi="Times New Roman"/>
          <w:sz w:val="24"/>
        </w:rPr>
        <w:t>Support timely, informed decisions.</w:t>
      </w:r>
    </w:p>
    <w:p>
      <w:pPr>
        <w:spacing w:before="360" w:after="200"/>
      </w:pPr>
      <w:r>
        <w:rPr>
          <w:rFonts w:ascii="Times New Roman" w:hAnsi="Times New Roman"/>
          <w:b/>
          <w:sz w:val="24"/>
          <w:u w:val="single"/>
        </w:rPr>
        <w:t>Logging New Matters</w:t>
      </w:r>
    </w:p>
    <w:p>
      <w:pPr>
        <w:spacing w:after="120"/>
      </w:pPr>
      <w:r>
        <w:rPr>
          <w:rFonts w:ascii="Times New Roman" w:hAnsi="Times New Roman"/>
          <w:sz w:val="24"/>
        </w:rPr>
        <w:t>The moment we get a demand letter, complaint, or notice of claim, log it in the Legal Risk Tracker. Legal assigns a unique ID and names a responsible attorney or paralegal.</w:t>
      </w:r>
    </w:p>
    <w:p>
      <w:pPr>
        <w:spacing w:after="120"/>
      </w:pPr>
      <w:r>
        <w:rPr>
          <w:rFonts w:ascii="Times New Roman" w:hAnsi="Times New Roman"/>
          <w:sz w:val="24"/>
        </w:rPr>
        <w:t>For each matter, record:</w:t>
      </w:r>
    </w:p>
    <w:p>
      <w:pPr>
        <w:pStyle w:val="ListBullet"/>
      </w:pPr>
      <w:r>
        <w:rPr>
          <w:rFonts w:ascii="Times New Roman" w:hAnsi="Times New Roman"/>
          <w:sz w:val="24"/>
        </w:rPr>
        <w:t>Who is involved.</w:t>
      </w:r>
    </w:p>
    <w:p>
      <w:pPr>
        <w:pStyle w:val="ListBullet"/>
      </w:pPr>
      <w:r>
        <w:rPr>
          <w:rFonts w:ascii="Times New Roman" w:hAnsi="Times New Roman"/>
          <w:sz w:val="24"/>
        </w:rPr>
        <w:t>What the claim or dispute is about.</w:t>
      </w:r>
    </w:p>
    <w:p>
      <w:pPr>
        <w:pStyle w:val="ListBullet"/>
      </w:pPr>
      <w:r>
        <w:rPr>
          <w:rFonts w:ascii="Times New Roman" w:hAnsi="Times New Roman"/>
          <w:sz w:val="24"/>
        </w:rPr>
        <w:t>Which property or entity it affects.</w:t>
      </w:r>
    </w:p>
    <w:p>
      <w:pPr>
        <w:pStyle w:val="ListBullet"/>
      </w:pPr>
      <w:r>
        <w:rPr>
          <w:rFonts w:ascii="Times New Roman" w:hAnsi="Times New Roman"/>
          <w:sz w:val="24"/>
        </w:rPr>
        <w:t>Date received and key deadlines.</w:t>
      </w:r>
    </w:p>
    <w:p>
      <w:pPr>
        <w:pStyle w:val="ListBullet"/>
      </w:pPr>
      <w:r>
        <w:rPr>
          <w:rFonts w:ascii="Times New Roman" w:hAnsi="Times New Roman"/>
          <w:sz w:val="24"/>
        </w:rPr>
        <w:t>Outside counsel (if any).</w:t>
      </w:r>
    </w:p>
    <w:p>
      <w:pPr>
        <w:pStyle w:val="ListBullet"/>
      </w:pPr>
      <w:r>
        <w:rPr>
          <w:rFonts w:ascii="Times New Roman" w:hAnsi="Times New Roman"/>
          <w:sz w:val="24"/>
        </w:rPr>
        <w:t>Estimated financial exposure.</w:t>
      </w:r>
    </w:p>
    <w:p>
      <w:pPr>
        <w:pStyle w:val="ListBullet"/>
      </w:pPr>
      <w:r>
        <w:rPr>
          <w:rFonts w:ascii="Times New Roman" w:hAnsi="Times New Roman"/>
          <w:sz w:val="24"/>
        </w:rPr>
        <w:t>Strategy and settlement position.</w:t>
      </w:r>
    </w:p>
    <w:p>
      <w:pPr>
        <w:spacing w:before="360" w:after="200"/>
      </w:pPr>
      <w:r>
        <w:rPr>
          <w:rFonts w:ascii="Times New Roman" w:hAnsi="Times New Roman"/>
          <w:b/>
          <w:sz w:val="24"/>
          <w:u w:val="single"/>
        </w:rPr>
        <w:t>Hiring Outside Counsel</w:t>
      </w:r>
    </w:p>
    <w:p>
      <w:pPr>
        <w:spacing w:after="120"/>
      </w:pPr>
      <w:r>
        <w:rPr>
          <w:rFonts w:ascii="Times New Roman" w:hAnsi="Times New Roman"/>
          <w:sz w:val="24"/>
        </w:rPr>
        <w:t>Legal keeps an approved panel of firms chosen for expertise, jurisdiction coverage, responsiveness, and cost. Only Legal hires outside counsel.</w:t>
      </w:r>
    </w:p>
    <w:p>
      <w:pPr>
        <w:spacing w:after="120"/>
      </w:pPr>
      <w:r>
        <w:rPr>
          <w:rFonts w:ascii="Times New Roman" w:hAnsi="Times New Roman"/>
          <w:sz w:val="24"/>
        </w:rPr>
        <w:t>Before hiring, Legal will:</w:t>
      </w:r>
    </w:p>
    <w:p>
      <w:pPr>
        <w:pStyle w:val="ListNumber"/>
      </w:pPr>
      <w:r>
        <w:rPr>
          <w:rFonts w:ascii="Times New Roman" w:hAnsi="Times New Roman"/>
          <w:sz w:val="24"/>
        </w:rPr>
        <w:t>Define the scope of work and what we expect to get back.</w:t>
      </w:r>
    </w:p>
    <w:p>
      <w:pPr>
        <w:pStyle w:val="ListNumber"/>
      </w:pPr>
      <w:r>
        <w:rPr>
          <w:rFonts w:ascii="Times New Roman" w:hAnsi="Times New Roman"/>
          <w:sz w:val="24"/>
        </w:rPr>
        <w:t>Confirm billing rates and any rate caps (see Attachment C).</w:t>
      </w:r>
    </w:p>
    <w:p>
      <w:pPr>
        <w:pStyle w:val="ListNumber"/>
      </w:pPr>
      <w:r>
        <w:rPr>
          <w:rFonts w:ascii="Times New Roman" w:hAnsi="Times New Roman"/>
          <w:sz w:val="24"/>
        </w:rPr>
        <w:t>Set a budget and get approvals if it's over the threshold (see Attachment A).</w:t>
      </w:r>
    </w:p>
    <w:p>
      <w:pPr>
        <w:pStyle w:val="ListNumber"/>
      </w:pPr>
      <w:r>
        <w:rPr>
          <w:rFonts w:ascii="Times New Roman" w:hAnsi="Times New Roman"/>
          <w:sz w:val="24"/>
        </w:rPr>
        <w:t>Send a written engagement letter covering terms, staffing, and reporting.</w:t>
      </w:r>
    </w:p>
    <w:p>
      <w:pPr>
        <w:spacing w:before="360" w:after="200"/>
      </w:pPr>
      <w:r>
        <w:rPr>
          <w:rFonts w:ascii="Times New Roman" w:hAnsi="Times New Roman"/>
          <w:b/>
          <w:sz w:val="24"/>
          <w:u w:val="single"/>
        </w:rPr>
        <w:t>Budgets and Spend</w:t>
      </w:r>
    </w:p>
    <w:p>
      <w:pPr>
        <w:spacing w:after="120"/>
      </w:pPr>
      <w:r>
        <w:rPr>
          <w:rFonts w:ascii="Times New Roman" w:hAnsi="Times New Roman"/>
          <w:sz w:val="24"/>
        </w:rPr>
        <w:t>Outside counsel give us a budget up front. Legal reviews spend against budget every month.</w:t>
      </w:r>
    </w:p>
    <w:p>
      <w:pPr>
        <w:spacing w:after="120"/>
      </w:pPr>
      <w:r>
        <w:rPr>
          <w:rFonts w:ascii="Times New Roman" w:hAnsi="Times New Roman"/>
          <w:sz w:val="24"/>
        </w:rPr>
        <w:t>Budget rules:</w:t>
      </w:r>
    </w:p>
    <w:p>
      <w:pPr>
        <w:pStyle w:val="ListBullet"/>
      </w:pPr>
      <w:r>
        <w:rPr>
          <w:rFonts w:ascii="Times New Roman" w:hAnsi="Times New Roman"/>
          <w:sz w:val="24"/>
        </w:rPr>
        <w:t>The responsible Legal attorney reviews and approves invoices each month.</w:t>
      </w:r>
    </w:p>
    <w:p>
      <w:pPr>
        <w:pStyle w:val="ListBullet"/>
      </w:pPr>
      <w:r>
        <w:rPr>
          <w:rFonts w:ascii="Times New Roman" w:hAnsi="Times New Roman"/>
          <w:sz w:val="24"/>
        </w:rPr>
        <w:t>Compare actual spend to budget and explain any variance.</w:t>
      </w:r>
    </w:p>
    <w:p>
      <w:pPr>
        <w:pStyle w:val="ListBullet"/>
      </w:pPr>
      <w:r>
        <w:rPr>
          <w:rFonts w:ascii="Times New Roman" w:hAnsi="Times New Roman"/>
          <w:sz w:val="24"/>
        </w:rPr>
        <w:t>CFO gets a quarterly report of total legal spend.</w:t>
      </w:r>
    </w:p>
    <w:p>
      <w:pPr>
        <w:pStyle w:val="ListBullet"/>
      </w:pPr>
      <w:r>
        <w:rPr>
          <w:rFonts w:ascii="Times New Roman" w:hAnsi="Times New Roman"/>
          <w:sz w:val="24"/>
        </w:rPr>
        <w:t>If spend will exceed the budget by more than 15%, get pre-approval.</w:t>
      </w:r>
    </w:p>
    <w:p>
      <w:pPr>
        <w:spacing w:before="360" w:after="200"/>
      </w:pPr>
      <w:r>
        <w:rPr>
          <w:rFonts w:ascii="Times New Roman" w:hAnsi="Times New Roman"/>
          <w:b/>
          <w:sz w:val="24"/>
          <w:u w:val="single"/>
        </w:rPr>
        <w:t>Strategy and Settlement</w:t>
      </w:r>
    </w:p>
    <w:p>
      <w:pPr>
        <w:spacing w:after="120"/>
      </w:pPr>
      <w:r>
        <w:rPr>
          <w:rFonts w:ascii="Times New Roman" w:hAnsi="Times New Roman"/>
          <w:sz w:val="24"/>
        </w:rPr>
        <w:t>Legal sets litigation strategy with executive leadership. Settlement authority follows the Delegation of Authority Matrix (Attachment A). Put every settlement proposal in writing, including its financial and strategic impact.</w:t>
      </w:r>
    </w:p>
    <w:p>
      <w:pPr>
        <w:spacing w:before="360" w:after="200"/>
      </w:pPr>
      <w:r>
        <w:rPr>
          <w:rFonts w:ascii="Times New Roman" w:hAnsi="Times New Roman"/>
          <w:b/>
          <w:sz w:val="24"/>
          <w:u w:val="single"/>
        </w:rPr>
        <w:t>Reporting on Litigation</w:t>
      </w:r>
    </w:p>
    <w:p>
      <w:pPr>
        <w:spacing w:after="120"/>
      </w:pPr>
      <w:r>
        <w:rPr>
          <w:rFonts w:ascii="Times New Roman" w:hAnsi="Times New Roman"/>
          <w:sz w:val="24"/>
        </w:rPr>
        <w:t>Legal gives executive leadership regular updates. Each update covers:</w:t>
      </w:r>
    </w:p>
    <w:p>
      <w:pPr>
        <w:pStyle w:val="ListBullet"/>
      </w:pPr>
      <w:r>
        <w:rPr>
          <w:rFonts w:ascii="Times New Roman" w:hAnsi="Times New Roman"/>
          <w:sz w:val="24"/>
        </w:rPr>
        <w:t>Status of every active matter.</w:t>
      </w:r>
    </w:p>
    <w:p>
      <w:pPr>
        <w:pStyle w:val="ListBullet"/>
      </w:pPr>
      <w:r>
        <w:rPr>
          <w:rFonts w:ascii="Times New Roman" w:hAnsi="Times New Roman"/>
          <w:sz w:val="24"/>
        </w:rPr>
        <w:t>Changes in estimated exposure.</w:t>
      </w:r>
    </w:p>
    <w:p>
      <w:pPr>
        <w:pStyle w:val="ListBullet"/>
      </w:pPr>
      <w:r>
        <w:rPr>
          <w:rFonts w:ascii="Times New Roman" w:hAnsi="Times New Roman"/>
          <w:sz w:val="24"/>
        </w:rPr>
        <w:t>Key developments and upcoming deadlines.</w:t>
      </w:r>
    </w:p>
    <w:p>
      <w:pPr>
        <w:pStyle w:val="ListBullet"/>
      </w:pPr>
      <w:r>
        <w:rPr>
          <w:rFonts w:ascii="Times New Roman" w:hAnsi="Times New Roman"/>
          <w:sz w:val="24"/>
        </w:rPr>
        <w:t>Budget vs. actual spend.</w:t>
      </w:r>
    </w:p>
    <w:p>
      <w:pPr>
        <w:pStyle w:val="ListBullet"/>
      </w:pPr>
      <w:r>
        <w:rPr>
          <w:rFonts w:ascii="Times New Roman" w:hAnsi="Times New Roman"/>
          <w:sz w:val="24"/>
        </w:rPr>
        <w:t>Decisions or actions we recommend.</w:t>
      </w:r>
    </w:p>
    <w:p>
      <w:pPr>
        <w:spacing w:after="120"/>
      </w:pPr>
      <w:r>
        <w:rPr>
          <w:rFonts w:ascii="Times New Roman" w:hAnsi="Times New Roman"/>
          <w:sz w:val="24"/>
        </w:rPr>
        <w:t>Reports pull from the Legal Risk Tracker and the Legal Risk Dashboard (Section 10 and Attachment B).</w:t>
      </w:r>
    </w:p>
    <w:p>
      <w:pPr>
        <w:spacing w:before="360" w:after="200"/>
      </w:pPr>
      <w:r>
        <w:rPr>
          <w:rFonts w:ascii="Times New Roman" w:hAnsi="Times New Roman"/>
          <w:b/>
          <w:sz w:val="24"/>
          <w:u w:val="single"/>
        </w:rPr>
        <w:t>Review After a Matter Closes</w:t>
      </w:r>
    </w:p>
    <w:p>
      <w:pPr>
        <w:spacing w:after="120"/>
      </w:pPr>
      <w:r>
        <w:rPr>
          <w:rFonts w:ascii="Times New Roman" w:hAnsi="Times New Roman"/>
          <w:sz w:val="24"/>
        </w:rPr>
        <w:t>After a significant matter ends, Legal holds a post-mortem. We look at outside counsel performance, how actual outcomes compared to our original exposure estimate, and recurring issues that might mean changing a lease form, operational step, or risk practice.</w:t>
      </w:r>
    </w:p>
    <w:p>
      <w:r>
        <w:br w:type="page"/>
      </w:r>
    </w:p>
    <w:p>
      <w:pPr>
        <w:spacing w:before="480" w:after="240"/>
      </w:pPr>
      <w:r>
        <w:rPr>
          <w:rFonts w:ascii="Times New Roman" w:hAnsi="Times New Roman"/>
          <w:b/>
          <w:sz w:val="24"/>
        </w:rPr>
        <w:t>7. CORPORATE GOVERNANCE AND ENTITY MANAGEMENT</w:t>
      </w:r>
    </w:p>
    <w:p>
      <w:pPr>
        <w:spacing w:after="120"/>
      </w:pPr>
      <w:r>
        <w:rPr>
          <w:rFonts w:ascii="Times New Roman" w:hAnsi="Times New Roman"/>
          <w:sz w:val="24"/>
        </w:rPr>
        <w:t>Legal oversees the Company's governance and keeps accurate records for every entity in the Company structure. Legal also makes sure the Company stays qualified as a REIT under the Internal Revenue Code (IRC Sections 856–860), and coordinates with Finance on SEC reports. These procedures meet what lenders, joint venture partners, and regulators expect.</w:t>
      </w:r>
    </w:p>
    <w:p>
      <w:pPr>
        <w:spacing w:after="120"/>
      </w:pPr>
      <w:r>
        <w:rPr>
          <w:rFonts w:ascii="Times New Roman" w:hAnsi="Times New Roman"/>
          <w:sz w:val="24"/>
        </w:rPr>
        <w:t>What these procedures do:</w:t>
      </w:r>
    </w:p>
    <w:p>
      <w:pPr>
        <w:pStyle w:val="ListBullet"/>
      </w:pPr>
      <w:r>
        <w:rPr>
          <w:rFonts w:ascii="Times New Roman" w:hAnsi="Times New Roman"/>
          <w:sz w:val="24"/>
        </w:rPr>
        <w:t>Keep the Company qualified as a REIT (IRC Sections 856–860).</w:t>
      </w:r>
    </w:p>
    <w:p>
      <w:pPr>
        <w:pStyle w:val="ListBullet"/>
      </w:pPr>
      <w:r>
        <w:rPr>
          <w:rFonts w:ascii="Times New Roman" w:hAnsi="Times New Roman"/>
          <w:sz w:val="24"/>
        </w:rPr>
        <w:t>Keep entity records accurate in every jurisdiction.</w:t>
      </w:r>
    </w:p>
    <w:p>
      <w:pPr>
        <w:pStyle w:val="ListBullet"/>
      </w:pPr>
      <w:r>
        <w:rPr>
          <w:rFonts w:ascii="Times New Roman" w:hAnsi="Times New Roman"/>
          <w:sz w:val="24"/>
        </w:rPr>
        <w:t>Support financings, deals, and loan covenant compliance.</w:t>
      </w:r>
    </w:p>
    <w:p>
      <w:pPr>
        <w:pStyle w:val="ListBullet"/>
      </w:pPr>
      <w:r>
        <w:rPr>
          <w:rFonts w:ascii="Times New Roman" w:hAnsi="Times New Roman"/>
          <w:sz w:val="24"/>
        </w:rPr>
        <w:t>Preserve institutional knowledge of the legal structure.</w:t>
      </w:r>
    </w:p>
    <w:p>
      <w:pPr>
        <w:pStyle w:val="ListBullet"/>
      </w:pPr>
      <w:r>
        <w:rPr>
          <w:rFonts w:ascii="Times New Roman" w:hAnsi="Times New Roman"/>
          <w:sz w:val="24"/>
        </w:rPr>
        <w:t>Coordinate SEC filings (10-K, 10-Q, 8-K) with Finance.</w:t>
      </w:r>
    </w:p>
    <w:p>
      <w:pPr>
        <w:pStyle w:val="ListBullet"/>
      </w:pPr>
      <w:r>
        <w:rPr>
          <w:rFonts w:ascii="Times New Roman" w:hAnsi="Times New Roman"/>
          <w:sz w:val="24"/>
        </w:rPr>
        <w:t>Give employees a way to report compliance concerns safely.</w:t>
      </w:r>
    </w:p>
    <w:p>
      <w:pPr>
        <w:spacing w:before="360" w:after="200"/>
      </w:pPr>
      <w:r>
        <w:rPr>
          <w:rFonts w:ascii="Times New Roman" w:hAnsi="Times New Roman"/>
          <w:b/>
          <w:sz w:val="24"/>
          <w:u w:val="single"/>
        </w:rPr>
        <w:t>A. Entity Management</w:t>
      </w:r>
    </w:p>
    <w:p>
      <w:pPr>
        <w:spacing w:after="120"/>
      </w:pPr>
      <w:r>
        <w:rPr>
          <w:rFonts w:ascii="Times New Roman" w:hAnsi="Times New Roman"/>
          <w:sz w:val="24"/>
        </w:rPr>
        <w:t>Legal keeps entity records in a dedicated Entity Management System (for example, Diligent Entities or CSC Entity Management). This system is the single source of truth. Do not use a spreadsheet as the main record.</w:t>
      </w:r>
    </w:p>
    <w:p>
      <w:pPr>
        <w:spacing w:after="120"/>
      </w:pPr>
      <w:r>
        <w:rPr>
          <w:rFonts w:ascii="Times New Roman" w:hAnsi="Times New Roman"/>
          <w:sz w:val="24"/>
        </w:rPr>
        <w:t>For every entity, the system tracks at least:</w:t>
      </w:r>
    </w:p>
    <w:p>
      <w:pPr>
        <w:pStyle w:val="ListBullet"/>
      </w:pPr>
      <w:r>
        <w:rPr>
          <w:rFonts w:ascii="Times New Roman" w:hAnsi="Times New Roman"/>
          <w:sz w:val="24"/>
        </w:rPr>
        <w:t>Legal name, entity type (LLC, LP, corporation, trust, etc.), and EIN.</w:t>
      </w:r>
    </w:p>
    <w:p>
      <w:pPr>
        <w:pStyle w:val="ListBullet"/>
      </w:pPr>
      <w:r>
        <w:rPr>
          <w:rFonts w:ascii="Times New Roman" w:hAnsi="Times New Roman"/>
          <w:sz w:val="24"/>
        </w:rPr>
        <w:t>State of formation and formation date.</w:t>
      </w:r>
    </w:p>
    <w:p>
      <w:pPr>
        <w:pStyle w:val="ListBullet"/>
      </w:pPr>
      <w:r>
        <w:rPr>
          <w:rFonts w:ascii="Times New Roman" w:hAnsi="Times New Roman"/>
          <w:sz w:val="24"/>
        </w:rPr>
        <w:t>Ownership structure, percentages, and org chart.</w:t>
      </w:r>
    </w:p>
    <w:p>
      <w:pPr>
        <w:pStyle w:val="ListBullet"/>
      </w:pPr>
      <w:r>
        <w:rPr>
          <w:rFonts w:ascii="Times New Roman" w:hAnsi="Times New Roman"/>
          <w:sz w:val="24"/>
        </w:rPr>
        <w:t>Governing documents (operating agreement, LP agreement, bylaws, declaration of trust).</w:t>
      </w:r>
    </w:p>
    <w:p>
      <w:pPr>
        <w:pStyle w:val="ListBullet"/>
      </w:pPr>
      <w:r>
        <w:rPr>
          <w:rFonts w:ascii="Times New Roman" w:hAnsi="Times New Roman"/>
          <w:sz w:val="24"/>
        </w:rPr>
        <w:t>Registered agent name, address, and contact info for each state.</w:t>
      </w:r>
    </w:p>
    <w:p>
      <w:pPr>
        <w:pStyle w:val="ListBullet"/>
      </w:pPr>
      <w:r>
        <w:rPr>
          <w:rFonts w:ascii="Times New Roman" w:hAnsi="Times New Roman"/>
          <w:sz w:val="24"/>
        </w:rPr>
        <w:t>Principal office and service of process address.</w:t>
      </w:r>
    </w:p>
    <w:p>
      <w:pPr>
        <w:pStyle w:val="ListBullet"/>
      </w:pPr>
      <w:r>
        <w:rPr>
          <w:rFonts w:ascii="Times New Roman" w:hAnsi="Times New Roman"/>
          <w:sz w:val="24"/>
        </w:rPr>
        <w:t>Good standing status in the home state and every state of qualification.</w:t>
      </w:r>
    </w:p>
    <w:p>
      <w:pPr>
        <w:pStyle w:val="ListBullet"/>
      </w:pPr>
      <w:r>
        <w:rPr>
          <w:rFonts w:ascii="Times New Roman" w:hAnsi="Times New Roman"/>
          <w:sz w:val="24"/>
        </w:rPr>
        <w:t>Officers, managers, directors, and authorized signers with appointment and removal dates.</w:t>
      </w:r>
    </w:p>
    <w:p>
      <w:pPr>
        <w:pStyle w:val="ListBullet"/>
      </w:pPr>
      <w:r>
        <w:rPr>
          <w:rFonts w:ascii="Times New Roman" w:hAnsi="Times New Roman"/>
          <w:sz w:val="24"/>
        </w:rPr>
        <w:t>Material intercompany contracts and loans.</w:t>
      </w:r>
    </w:p>
    <w:p>
      <w:pPr>
        <w:spacing w:after="120"/>
      </w:pPr>
      <w:r>
        <w:rPr>
          <w:rFonts w:ascii="Times New Roman" w:hAnsi="Times New Roman"/>
          <w:sz w:val="24"/>
        </w:rPr>
        <w:t>Legal handles these entity actions:</w:t>
      </w:r>
    </w:p>
    <w:p>
      <w:pPr>
        <w:pStyle w:val="ListBullet"/>
      </w:pPr>
      <w:r>
        <w:rPr>
          <w:rFonts w:ascii="Times New Roman" w:hAnsi="Times New Roman"/>
          <w:sz w:val="24"/>
        </w:rPr>
        <w:t>Forming and dissolving entities, including all organizational documents and filings.</w:t>
      </w:r>
    </w:p>
    <w:p>
      <w:pPr>
        <w:pStyle w:val="ListBullet"/>
      </w:pPr>
      <w:r>
        <w:rPr>
          <w:rFonts w:ascii="Times New Roman" w:hAnsi="Times New Roman"/>
          <w:sz w:val="24"/>
        </w:rPr>
        <w:t>Amending governing documents (with required approvals under the authority matrix).</w:t>
      </w:r>
    </w:p>
    <w:p>
      <w:pPr>
        <w:pStyle w:val="ListBullet"/>
      </w:pPr>
      <w:r>
        <w:rPr>
          <w:rFonts w:ascii="Times New Roman" w:hAnsi="Times New Roman"/>
          <w:sz w:val="24"/>
        </w:rPr>
        <w:t>Restructurings, mergers, and conversions between entities.</w:t>
      </w:r>
    </w:p>
    <w:p>
      <w:pPr>
        <w:pStyle w:val="ListBullet"/>
      </w:pPr>
      <w:r>
        <w:rPr>
          <w:rFonts w:ascii="Times New Roman" w:hAnsi="Times New Roman"/>
          <w:sz w:val="24"/>
        </w:rPr>
        <w:t>Foreign qualification and withdrawal filings.</w:t>
      </w:r>
    </w:p>
    <w:p>
      <w:pPr>
        <w:pStyle w:val="ListBullet"/>
      </w:pPr>
      <w:r>
        <w:rPr>
          <w:rFonts w:ascii="Times New Roman" w:hAnsi="Times New Roman"/>
          <w:sz w:val="24"/>
        </w:rPr>
        <w:t>Changes to registered agents or registered offices.</w:t>
      </w:r>
    </w:p>
    <w:p>
      <w:pPr>
        <w:spacing w:before="360" w:after="200"/>
      </w:pPr>
      <w:r>
        <w:rPr>
          <w:rFonts w:ascii="Times New Roman" w:hAnsi="Times New Roman"/>
          <w:b/>
          <w:sz w:val="24"/>
          <w:u w:val="single"/>
        </w:rPr>
        <w:t>B. Annual Entity Records Review</w:t>
      </w:r>
    </w:p>
    <w:p>
      <w:pPr>
        <w:spacing w:after="120"/>
      </w:pPr>
      <w:r>
        <w:rPr>
          <w:rFonts w:ascii="Times New Roman" w:hAnsi="Times New Roman"/>
          <w:sz w:val="24"/>
        </w:rPr>
        <w:t>Every year (by the end of Q1), Legal runs a full review of entity records. The steps:</w:t>
      </w:r>
    </w:p>
    <w:p>
      <w:pPr>
        <w:pStyle w:val="ListNumber"/>
      </w:pPr>
      <w:r>
        <w:rPr>
          <w:rFonts w:ascii="Times New Roman" w:hAnsi="Times New Roman"/>
          <w:sz w:val="24"/>
        </w:rPr>
        <w:t>Pull a full entity register from the Entity Management System: name, formation state, qualification states, registered agent, and good standing.</w:t>
      </w:r>
    </w:p>
    <w:p>
      <w:pPr>
        <w:pStyle w:val="ListNumber"/>
      </w:pPr>
      <w:r>
        <w:rPr>
          <w:rFonts w:ascii="Times New Roman" w:hAnsi="Times New Roman"/>
          <w:sz w:val="24"/>
        </w:rPr>
        <w:t>Cross-check the register against tax records, org charts, and financial statements. Find any gaps or stale data.</w:t>
      </w:r>
    </w:p>
    <w:p>
      <w:pPr>
        <w:pStyle w:val="ListNumber"/>
      </w:pPr>
      <w:r>
        <w:rPr>
          <w:rFonts w:ascii="Times New Roman" w:hAnsi="Times New Roman"/>
          <w:sz w:val="24"/>
        </w:rPr>
        <w:t>For each entity, verify (a) governing documents are current, (b) ownership matches cap tables and tax filings, (c) officer and manager lists are current, and (d) registered agent info is correct.</w:t>
      </w:r>
    </w:p>
    <w:p>
      <w:pPr>
        <w:pStyle w:val="ListNumber"/>
      </w:pPr>
      <w:r>
        <w:rPr>
          <w:rFonts w:ascii="Times New Roman" w:hAnsi="Times New Roman"/>
          <w:sz w:val="24"/>
        </w:rPr>
        <w:t>Write an Entity Records Attestation Report summarizing what we found, any problems, and what's being done about them.</w:t>
      </w:r>
    </w:p>
    <w:p>
      <w:pPr>
        <w:pStyle w:val="ListNumber"/>
      </w:pPr>
      <w:r>
        <w:rPr>
          <w:rFonts w:ascii="Times New Roman" w:hAnsi="Times New Roman"/>
          <w:sz w:val="24"/>
        </w:rPr>
        <w:t>The GC signs the report and sends it to the CFO and Board (or governing body) by April 30 each year.</w:t>
      </w:r>
    </w:p>
    <w:p>
      <w:pPr>
        <w:spacing w:after="120"/>
      </w:pPr>
      <w:r>
        <w:rPr>
          <w:rFonts w:ascii="Times New Roman" w:hAnsi="Times New Roman"/>
          <w:sz w:val="24"/>
        </w:rPr>
        <w:t>Also update entity records right away whenever something material happens: an acquisition, disposition, financing, refinancing, joint venture, or restructuring.</w:t>
      </w:r>
    </w:p>
    <w:p>
      <w:pPr>
        <w:spacing w:before="360" w:after="200"/>
      </w:pPr>
      <w:r>
        <w:rPr>
          <w:rFonts w:ascii="Times New Roman" w:hAnsi="Times New Roman"/>
          <w:b/>
          <w:sz w:val="24"/>
          <w:u w:val="single"/>
        </w:rPr>
        <w:t>C. Governance Records</w:t>
      </w:r>
    </w:p>
    <w:p>
      <w:pPr>
        <w:spacing w:after="120"/>
      </w:pPr>
      <w:r>
        <w:rPr>
          <w:rFonts w:ascii="Times New Roman" w:hAnsi="Times New Roman"/>
          <w:sz w:val="24"/>
        </w:rPr>
        <w:t>Legal keeps governance records organized, including:</w:t>
      </w:r>
    </w:p>
    <w:p>
      <w:pPr>
        <w:pStyle w:val="ListBullet"/>
      </w:pPr>
      <w:r>
        <w:rPr>
          <w:rFonts w:ascii="Times New Roman" w:hAnsi="Times New Roman"/>
          <w:sz w:val="24"/>
        </w:rPr>
        <w:t>Member, manager, and board approvals and minutes.</w:t>
      </w:r>
    </w:p>
    <w:p>
      <w:pPr>
        <w:pStyle w:val="ListBullet"/>
      </w:pPr>
      <w:r>
        <w:rPr>
          <w:rFonts w:ascii="Times New Roman" w:hAnsi="Times New Roman"/>
          <w:sz w:val="24"/>
        </w:rPr>
        <w:t>Written consents and resolutions (including unanimous written consents instead of meetings).</w:t>
      </w:r>
    </w:p>
    <w:p>
      <w:pPr>
        <w:pStyle w:val="ListBullet"/>
      </w:pPr>
      <w:r>
        <w:rPr>
          <w:rFonts w:ascii="Times New Roman" w:hAnsi="Times New Roman"/>
          <w:sz w:val="24"/>
        </w:rPr>
        <w:t>Officer, manager, and director appointments and removals.</w:t>
      </w:r>
    </w:p>
    <w:p>
      <w:pPr>
        <w:pStyle w:val="ListBullet"/>
      </w:pPr>
      <w:r>
        <w:rPr>
          <w:rFonts w:ascii="Times New Roman" w:hAnsi="Times New Roman"/>
          <w:sz w:val="24"/>
        </w:rPr>
        <w:t>Delegation of authority documents.</w:t>
      </w:r>
    </w:p>
    <w:p>
      <w:pPr>
        <w:pStyle w:val="ListBullet"/>
      </w:pPr>
      <w:r>
        <w:rPr>
          <w:rFonts w:ascii="Times New Roman" w:hAnsi="Times New Roman"/>
          <w:sz w:val="24"/>
        </w:rPr>
        <w:t>Annual conflict-of-interest questionnaires and disclosures.</w:t>
      </w:r>
    </w:p>
    <w:p>
      <w:pPr>
        <w:pStyle w:val="ListBullet"/>
      </w:pPr>
      <w:r>
        <w:rPr>
          <w:rFonts w:ascii="Times New Roman" w:hAnsi="Times New Roman"/>
          <w:sz w:val="24"/>
        </w:rPr>
        <w:t>Related-party transaction approvals.</w:t>
      </w:r>
    </w:p>
    <w:p>
      <w:pPr>
        <w:spacing w:after="120"/>
      </w:pPr>
      <w:r>
        <w:rPr>
          <w:rFonts w:ascii="Times New Roman" w:hAnsi="Times New Roman"/>
          <w:sz w:val="24"/>
        </w:rPr>
        <w:t>Save all governance actions in SharePoint. Track recurring tasks (annual meetings, deliverables, filing deadlines) on the Governance Calendar in Section 7.H.</w:t>
      </w:r>
    </w:p>
    <w:p>
      <w:pPr>
        <w:spacing w:before="360" w:after="200"/>
      </w:pPr>
      <w:r>
        <w:rPr>
          <w:rFonts w:ascii="Times New Roman" w:hAnsi="Times New Roman"/>
          <w:b/>
          <w:sz w:val="24"/>
          <w:u w:val="single"/>
        </w:rPr>
        <w:t>D. Authority and Approvals</w:t>
      </w:r>
    </w:p>
    <w:p>
      <w:pPr>
        <w:spacing w:after="120"/>
      </w:pPr>
      <w:r>
        <w:rPr>
          <w:rFonts w:ascii="Times New Roman" w:hAnsi="Times New Roman"/>
          <w:sz w:val="24"/>
        </w:rPr>
        <w:t>Legal runs the Company's authority framework (see Attachment A).</w:t>
      </w:r>
    </w:p>
    <w:p>
      <w:pPr>
        <w:spacing w:after="120"/>
      </w:pPr>
      <w:r>
        <w:rPr>
          <w:rFonts w:ascii="Times New Roman" w:hAnsi="Times New Roman"/>
          <w:sz w:val="24"/>
        </w:rPr>
        <w:t>Legal's responsibilities:</w:t>
      </w:r>
    </w:p>
    <w:p>
      <w:pPr>
        <w:pStyle w:val="ListBullet"/>
      </w:pPr>
      <w:r>
        <w:rPr>
          <w:rFonts w:ascii="Times New Roman" w:hAnsi="Times New Roman"/>
          <w:sz w:val="24"/>
        </w:rPr>
        <w:t>Confirm who can sign each contract, lease, loan document, or deed.</w:t>
      </w:r>
    </w:p>
    <w:p>
      <w:pPr>
        <w:pStyle w:val="ListBullet"/>
      </w:pPr>
      <w:r>
        <w:rPr>
          <w:rFonts w:ascii="Times New Roman" w:hAnsi="Times New Roman"/>
          <w:sz w:val="24"/>
        </w:rPr>
        <w:t>Get approvals for material transactions (including board or member consent).</w:t>
      </w:r>
    </w:p>
    <w:p>
      <w:pPr>
        <w:pStyle w:val="ListBullet"/>
      </w:pPr>
      <w:r>
        <w:rPr>
          <w:rFonts w:ascii="Times New Roman" w:hAnsi="Times New Roman"/>
          <w:sz w:val="24"/>
        </w:rPr>
        <w:t>Keep the authorized signatory list current (and specimen signatures if lenders or title companies require them).</w:t>
      </w:r>
    </w:p>
    <w:p>
      <w:pPr>
        <w:pStyle w:val="ListBullet"/>
      </w:pPr>
      <w:r>
        <w:rPr>
          <w:rFonts w:ascii="Times New Roman" w:hAnsi="Times New Roman"/>
          <w:sz w:val="24"/>
        </w:rPr>
        <w:t>Check approval thresholds before anyone signs.</w:t>
      </w:r>
    </w:p>
    <w:p>
      <w:pPr>
        <w:pStyle w:val="ListBullet"/>
      </w:pPr>
      <w:r>
        <w:rPr>
          <w:rFonts w:ascii="Times New Roman" w:hAnsi="Times New Roman"/>
          <w:sz w:val="24"/>
        </w:rPr>
        <w:t>Coordinate with Acquisitions and Asset Management on authority for acquisitions, dispositions, and financings.</w:t>
      </w:r>
    </w:p>
    <w:p>
      <w:pPr>
        <w:spacing w:after="120"/>
      </w:pPr>
      <w:r>
        <w:rPr>
          <w:rFonts w:ascii="Times New Roman" w:hAnsi="Times New Roman"/>
          <w:sz w:val="24"/>
        </w:rPr>
        <w:t>Legal sends an updated authorized signatory list to Finance, Asset Management, Acquisitions, and Property Management at least once a year and within 5 business days of any change.</w:t>
      </w:r>
    </w:p>
    <w:p>
      <w:pPr>
        <w:spacing w:before="360" w:after="200"/>
      </w:pPr>
      <w:r>
        <w:rPr>
          <w:rFonts w:ascii="Times New Roman" w:hAnsi="Times New Roman"/>
          <w:b/>
          <w:sz w:val="24"/>
          <w:u w:val="single"/>
        </w:rPr>
        <w:t>E. REIT Compliance</w:t>
      </w:r>
    </w:p>
    <w:p>
      <w:pPr>
        <w:spacing w:after="120"/>
      </w:pPr>
      <w:r>
        <w:rPr>
          <w:rFonts w:ascii="Times New Roman" w:hAnsi="Times New Roman"/>
          <w:sz w:val="24"/>
        </w:rPr>
        <w:t>The Company has elected REIT status under the Internal Revenue Code. Keeping that status matters a lot: losing it means federal corporate tax and could trigger defaults under our credit facilities and JV agreements. Legal works with Finance and outside tax advisors to track these REIT rules:</w:t>
      </w:r>
    </w:p>
    <w:p>
      <w:pPr>
        <w:spacing w:after="120"/>
      </w:pPr>
      <w:r>
        <w:rPr>
          <w:rFonts w:ascii="Times New Roman" w:hAnsi="Times New Roman"/>
          <w:b/>
          <w:sz w:val="24"/>
        </w:rPr>
        <w:t>Asset Tests (IRC 856(c)(4))</w:t>
      </w:r>
    </w:p>
    <w:p>
      <w:pPr>
        <w:pStyle w:val="ListBullet"/>
      </w:pPr>
      <w:r>
        <w:rPr>
          <w:rFonts w:ascii="Times New Roman" w:hAnsi="Times New Roman"/>
          <w:sz w:val="24"/>
        </w:rPr>
        <w:t>At the end of each quarter, at least 75% of the Company's assets (by value) must be real estate, cash, cash items, or government securities (the "75% Asset Test").</w:t>
      </w:r>
    </w:p>
    <w:p>
      <w:pPr>
        <w:pStyle w:val="ListBullet"/>
      </w:pPr>
      <w:r>
        <w:rPr>
          <w:rFonts w:ascii="Times New Roman" w:hAnsi="Times New Roman"/>
          <w:sz w:val="24"/>
        </w:rPr>
        <w:t>No more than 25% of assets can be other securities.</w:t>
      </w:r>
    </w:p>
    <w:p>
      <w:pPr>
        <w:pStyle w:val="ListBullet"/>
      </w:pPr>
      <w:r>
        <w:rPr>
          <w:rFonts w:ascii="Times New Roman" w:hAnsi="Times New Roman"/>
          <w:sz w:val="24"/>
        </w:rPr>
        <w:t>No more than 5% of assets in any one issuer, and no more than 10% of any issuer's voting or total securities (other than TRSs or qualified REIT subsidiaries) (the "5%/10% Tests").</w:t>
      </w:r>
    </w:p>
    <w:p>
      <w:pPr>
        <w:pStyle w:val="ListBullet"/>
      </w:pPr>
      <w:r>
        <w:rPr>
          <w:rFonts w:ascii="Times New Roman" w:hAnsi="Times New Roman"/>
          <w:sz w:val="24"/>
        </w:rPr>
        <w:t>Total taxable REIT subsidiary (TRS) securities can't exceed 20% of assets.</w:t>
      </w:r>
    </w:p>
    <w:p>
      <w:pPr>
        <w:spacing w:after="120"/>
      </w:pPr>
      <w:r>
        <w:rPr>
          <w:rFonts w:ascii="Times New Roman" w:hAnsi="Times New Roman"/>
          <w:b/>
          <w:sz w:val="24"/>
        </w:rPr>
        <w:t>Gross Income Tests (IRC 856(c)(2) and (3))</w:t>
      </w:r>
    </w:p>
    <w:p>
      <w:pPr>
        <w:pStyle w:val="ListBullet"/>
      </w:pPr>
      <w:r>
        <w:rPr>
          <w:rFonts w:ascii="Times New Roman" w:hAnsi="Times New Roman"/>
          <w:sz w:val="24"/>
        </w:rPr>
        <w:t>At least 75% of gross income each year must come from rent on real property, mortgage interest, sale of real estate, REIT dividends, or other qualifying real estate income (the "75% Income Test").</w:t>
      </w:r>
    </w:p>
    <w:p>
      <w:pPr>
        <w:pStyle w:val="ListBullet"/>
      </w:pPr>
      <w:r>
        <w:rPr>
          <w:rFonts w:ascii="Times New Roman" w:hAnsi="Times New Roman"/>
          <w:sz w:val="24"/>
        </w:rPr>
        <w:t>At least 95% of gross income must come from the 75% sources plus dividends, interest, and gain on securities (the "95% Income Test").</w:t>
      </w:r>
    </w:p>
    <w:p>
      <w:pPr>
        <w:pStyle w:val="ListBullet"/>
      </w:pPr>
      <w:r>
        <w:rPr>
          <w:rFonts w:ascii="Times New Roman" w:hAnsi="Times New Roman"/>
          <w:sz w:val="24"/>
        </w:rPr>
        <w:t>Legal works with Finance to make sure rents qualify under IRC 856(d): watch for impermissible tenant services, related-party rents, and personal property rent above 15% of total rent.</w:t>
      </w:r>
    </w:p>
    <w:p>
      <w:pPr>
        <w:spacing w:after="120"/>
      </w:pPr>
      <w:r>
        <w:rPr>
          <w:rFonts w:ascii="Times New Roman" w:hAnsi="Times New Roman"/>
          <w:b/>
          <w:sz w:val="24"/>
        </w:rPr>
        <w:t>Distribution Requirement (IRC 857(a))</w:t>
      </w:r>
    </w:p>
    <w:p>
      <w:pPr>
        <w:pStyle w:val="ListBullet"/>
      </w:pPr>
      <w:r>
        <w:rPr>
          <w:rFonts w:ascii="Times New Roman" w:hAnsi="Times New Roman"/>
          <w:sz w:val="24"/>
        </w:rPr>
        <w:t>The Company must distribute at least 90% of REIT taxable income (before the dividends-paid deduction and excluding net capital gains) each year.</w:t>
      </w:r>
    </w:p>
    <w:p>
      <w:pPr>
        <w:pStyle w:val="ListBullet"/>
      </w:pPr>
      <w:r>
        <w:rPr>
          <w:rFonts w:ascii="Times New Roman" w:hAnsi="Times New Roman"/>
          <w:sz w:val="24"/>
        </w:rPr>
        <w:t>Legal works with Finance to run distribution math within 60 days after year-end and declare and pay the distribution on time.</w:t>
      </w:r>
    </w:p>
    <w:p>
      <w:pPr>
        <w:pStyle w:val="ListBullet"/>
      </w:pPr>
      <w:r>
        <w:rPr>
          <w:rFonts w:ascii="Times New Roman" w:hAnsi="Times New Roman"/>
          <w:sz w:val="24"/>
        </w:rPr>
        <w:t>Legal watches preferential dividend rules and consent dividend procedures as needed.</w:t>
      </w:r>
    </w:p>
    <w:p>
      <w:pPr>
        <w:spacing w:after="120"/>
      </w:pPr>
      <w:r>
        <w:rPr>
          <w:rFonts w:ascii="Times New Roman" w:hAnsi="Times New Roman"/>
          <w:b/>
          <w:sz w:val="24"/>
        </w:rPr>
        <w:t>Organizational Tests (IRC 856(a) and (b))</w:t>
      </w:r>
    </w:p>
    <w:p>
      <w:pPr>
        <w:pStyle w:val="ListBullet"/>
      </w:pPr>
      <w:r>
        <w:rPr>
          <w:rFonts w:ascii="Times New Roman" w:hAnsi="Times New Roman"/>
          <w:sz w:val="24"/>
        </w:rPr>
        <w:t>The Company must be managed by one or more trustees or directors.</w:t>
      </w:r>
    </w:p>
    <w:p>
      <w:pPr>
        <w:pStyle w:val="ListBullet"/>
      </w:pPr>
      <w:r>
        <w:rPr>
          <w:rFonts w:ascii="Times New Roman" w:hAnsi="Times New Roman"/>
          <w:sz w:val="24"/>
        </w:rPr>
        <w:t>Ownership must be in transferable shares or certificates.</w:t>
      </w:r>
    </w:p>
    <w:p>
      <w:pPr>
        <w:pStyle w:val="ListBullet"/>
      </w:pPr>
      <w:r>
        <w:rPr>
          <w:rFonts w:ascii="Times New Roman" w:hAnsi="Times New Roman"/>
          <w:sz w:val="24"/>
        </w:rPr>
        <w:t>At least 100 shareholders for at least 335 days of every 12-month tax year (the "100 Shareholder Test").</w:t>
      </w:r>
    </w:p>
    <w:p>
      <w:pPr>
        <w:pStyle w:val="ListBullet"/>
      </w:pPr>
      <w:r>
        <w:rPr>
          <w:rFonts w:ascii="Times New Roman" w:hAnsi="Times New Roman"/>
          <w:sz w:val="24"/>
        </w:rPr>
        <w:t>During the last half of any tax year, no more than 50% of shares (by value) can be owned, directly or constructively, by 5 or fewer individuals (the "5/50 Test").</w:t>
      </w:r>
    </w:p>
    <w:p>
      <w:pPr>
        <w:spacing w:after="120"/>
      </w:pPr>
      <w:r>
        <w:rPr>
          <w:rFonts w:ascii="Times New Roman" w:hAnsi="Times New Roman"/>
          <w:sz w:val="24"/>
        </w:rPr>
        <w:t>Legal maintains a REIT Compliance Checklist and updates it quarterly with Finance and outside tax counsel. If a REIT rule might have been broken, tell the GC and CFO immediately. Build a fix-it plan within 5 business days.</w:t>
      </w:r>
    </w:p>
    <w:p>
      <w:pPr>
        <w:spacing w:before="360" w:after="200"/>
      </w:pPr>
      <w:r>
        <w:rPr>
          <w:rFonts w:ascii="Times New Roman" w:hAnsi="Times New Roman"/>
          <w:b/>
          <w:sz w:val="24"/>
          <w:u w:val="single"/>
        </w:rPr>
        <w:t>F. State Filings</w:t>
      </w:r>
    </w:p>
    <w:p>
      <w:pPr>
        <w:spacing w:after="120"/>
      </w:pPr>
      <w:r>
        <w:rPr>
          <w:rFonts w:ascii="Times New Roman" w:hAnsi="Times New Roman"/>
          <w:sz w:val="24"/>
        </w:rPr>
        <w:t>Legal works with an outside registered agent to keep every Company entity in good standing in every state. State filings fall into these buckets:</w:t>
      </w:r>
    </w:p>
    <w:p>
      <w:pPr>
        <w:spacing w:after="120"/>
      </w:pPr>
      <w:r>
        <w:rPr>
          <w:rFonts w:ascii="Times New Roman" w:hAnsi="Times New Roman"/>
          <w:b/>
          <w:sz w:val="24"/>
        </w:rPr>
        <w:t>Annual reports and statements of information</w:t>
      </w:r>
    </w:p>
    <w:p>
      <w:pPr>
        <w:pStyle w:val="ListBullet"/>
      </w:pPr>
      <w:r>
        <w:rPr>
          <w:rFonts w:ascii="Times New Roman" w:hAnsi="Times New Roman"/>
          <w:sz w:val="24"/>
        </w:rPr>
        <w:t>Required by the home state and every state where the entity is qualified.</w:t>
      </w:r>
    </w:p>
    <w:p>
      <w:pPr>
        <w:pStyle w:val="ListBullet"/>
      </w:pPr>
      <w:r>
        <w:rPr>
          <w:rFonts w:ascii="Times New Roman" w:hAnsi="Times New Roman"/>
          <w:sz w:val="24"/>
        </w:rPr>
        <w:t>Deadlines vary. Legal keeps a master filing calendar in the Entity Management System with reminders at 60 and 30 days before each deadline.</w:t>
      </w:r>
    </w:p>
    <w:p>
      <w:pPr>
        <w:spacing w:after="120"/>
      </w:pPr>
      <w:r>
        <w:rPr>
          <w:rFonts w:ascii="Times New Roman" w:hAnsi="Times New Roman"/>
          <w:b/>
          <w:sz w:val="24"/>
        </w:rPr>
        <w:t>Franchise and business tax filings</w:t>
      </w:r>
    </w:p>
    <w:p>
      <w:pPr>
        <w:pStyle w:val="ListBullet"/>
      </w:pPr>
      <w:r>
        <w:rPr>
          <w:rFonts w:ascii="Times New Roman" w:hAnsi="Times New Roman"/>
          <w:sz w:val="24"/>
        </w:rPr>
        <w:t>Franchise tax returns, gross receipts tax, and similar state-level filings needed for good standing (for example, Delaware franchise tax, Texas franchise tax, California LLC annual tax).</w:t>
      </w:r>
    </w:p>
    <w:p>
      <w:pPr>
        <w:pStyle w:val="ListBullet"/>
      </w:pPr>
      <w:r>
        <w:rPr>
          <w:rFonts w:ascii="Times New Roman" w:hAnsi="Times New Roman"/>
          <w:sz w:val="24"/>
        </w:rPr>
        <w:t>Legal works with Finance and outside tax advisors to file and pay these on time.</w:t>
      </w:r>
    </w:p>
    <w:p>
      <w:pPr>
        <w:spacing w:after="120"/>
      </w:pPr>
      <w:r>
        <w:rPr>
          <w:rFonts w:ascii="Times New Roman" w:hAnsi="Times New Roman"/>
          <w:b/>
          <w:sz w:val="24"/>
        </w:rPr>
        <w:t>Foreign qualification and withdrawal</w:t>
      </w:r>
    </w:p>
    <w:p>
      <w:pPr>
        <w:pStyle w:val="ListBullet"/>
      </w:pPr>
      <w:r>
        <w:rPr>
          <w:rFonts w:ascii="Times New Roman" w:hAnsi="Times New Roman"/>
          <w:sz w:val="24"/>
        </w:rPr>
        <w:t>Apply for authority to do business in any state where a Company entity owns property, has an office, or otherwise triggers qualification.</w:t>
      </w:r>
    </w:p>
    <w:p>
      <w:pPr>
        <w:pStyle w:val="ListBullet"/>
      </w:pPr>
      <w:r>
        <w:rPr>
          <w:rFonts w:ascii="Times New Roman" w:hAnsi="Times New Roman"/>
          <w:sz w:val="24"/>
        </w:rPr>
        <w:t>File withdrawals when an entity leaves a state.</w:t>
      </w:r>
    </w:p>
    <w:p>
      <w:pPr>
        <w:pStyle w:val="ListBullet"/>
      </w:pPr>
      <w:r>
        <w:rPr>
          <w:rFonts w:ascii="Times New Roman" w:hAnsi="Times New Roman"/>
          <w:sz w:val="24"/>
        </w:rPr>
        <w:t>When the Company buys or sells property in a new state, or starts operating in a new state, Legal checks whether qualification is needed.</w:t>
      </w:r>
    </w:p>
    <w:p>
      <w:pPr>
        <w:spacing w:after="120"/>
      </w:pPr>
      <w:r>
        <w:rPr>
          <w:rFonts w:ascii="Times New Roman" w:hAnsi="Times New Roman"/>
          <w:b/>
          <w:sz w:val="24"/>
        </w:rPr>
        <w:t>Registered agent or office changes</w:t>
      </w:r>
    </w:p>
    <w:p>
      <w:pPr>
        <w:pStyle w:val="ListBullet"/>
      </w:pPr>
      <w:r>
        <w:rPr>
          <w:rFonts w:ascii="Times New Roman" w:hAnsi="Times New Roman"/>
          <w:sz w:val="24"/>
        </w:rPr>
        <w:t>File the paperwork to update the Secretary of State whenever the registered agent or office changes.</w:t>
      </w:r>
    </w:p>
    <w:p>
      <w:pPr>
        <w:spacing w:after="120"/>
      </w:pPr>
      <w:r>
        <w:rPr>
          <w:rFonts w:ascii="Times New Roman" w:hAnsi="Times New Roman"/>
          <w:b/>
          <w:sz w:val="24"/>
        </w:rPr>
        <w:t>If we miss a filing</w:t>
      </w:r>
    </w:p>
    <w:p>
      <w:pPr>
        <w:pStyle w:val="ListNumber"/>
      </w:pPr>
      <w:r>
        <w:rPr>
          <w:rFonts w:ascii="Times New Roman" w:hAnsi="Times New Roman"/>
          <w:sz w:val="24"/>
        </w:rPr>
        <w:t>Tell the GC right away.</w:t>
      </w:r>
    </w:p>
    <w:p>
      <w:pPr>
        <w:pStyle w:val="ListNumber"/>
      </w:pPr>
      <w:r>
        <w:rPr>
          <w:rFonts w:ascii="Times New Roman" w:hAnsi="Times New Roman"/>
          <w:sz w:val="24"/>
        </w:rPr>
        <w:t>Within 2 business days: figure out what happened, whether good standing is affected, and what the penalties are.</w:t>
      </w:r>
    </w:p>
    <w:p>
      <w:pPr>
        <w:pStyle w:val="ListNumber"/>
      </w:pPr>
      <w:r>
        <w:rPr>
          <w:rFonts w:ascii="Times New Roman" w:hAnsi="Times New Roman"/>
          <w:sz w:val="24"/>
        </w:rPr>
        <w:t>Within 5 business days: file the late paperwork with any penalties or fees.</w:t>
      </w:r>
    </w:p>
    <w:p>
      <w:pPr>
        <w:pStyle w:val="ListNumber"/>
      </w:pPr>
      <w:r>
        <w:rPr>
          <w:rFonts w:ascii="Times New Roman" w:hAnsi="Times New Roman"/>
          <w:sz w:val="24"/>
        </w:rPr>
        <w:t>If good standing is lost or suspended: start reinstatement immediately. Tell the CFO and any lenders or counterparties that need good standing certificates.</w:t>
      </w:r>
    </w:p>
    <w:p>
      <w:pPr>
        <w:pStyle w:val="ListNumber"/>
      </w:pPr>
      <w:r>
        <w:rPr>
          <w:rFonts w:ascii="Times New Roman" w:hAnsi="Times New Roman"/>
          <w:sz w:val="24"/>
        </w:rPr>
        <w:t>Write an incident report: what went wrong, root cause, how we fixed it, how we'll prevent it. Save it in the Entity Management System and include it in the quarterly compliance review.</w:t>
      </w:r>
    </w:p>
    <w:p>
      <w:pPr>
        <w:pStyle w:val="ListNumber"/>
      </w:pPr>
      <w:r>
        <w:rPr>
          <w:rFonts w:ascii="Times New Roman" w:hAnsi="Times New Roman"/>
          <w:sz w:val="24"/>
        </w:rPr>
        <w:t>The GC tells executive leadership within 5 business days if the miss causes a loss of good standing or material penalty.</w:t>
      </w:r>
    </w:p>
    <w:p>
      <w:pPr>
        <w:spacing w:before="360" w:after="200"/>
      </w:pPr>
      <w:r>
        <w:rPr>
          <w:rFonts w:ascii="Times New Roman" w:hAnsi="Times New Roman"/>
          <w:b/>
          <w:sz w:val="24"/>
          <w:u w:val="single"/>
        </w:rPr>
        <w:t>G. SEC Reporting</w:t>
      </w:r>
    </w:p>
    <w:p>
      <w:pPr>
        <w:spacing w:after="120"/>
      </w:pPr>
      <w:r>
        <w:rPr>
          <w:rFonts w:ascii="Times New Roman" w:hAnsi="Times New Roman"/>
          <w:sz w:val="24"/>
        </w:rPr>
        <w:t>Legal supports SEC reports with Finance, the auditors, and outside securities counsel. Legal's role:</w:t>
      </w:r>
    </w:p>
    <w:p>
      <w:pPr>
        <w:pStyle w:val="ListBullet"/>
      </w:pPr>
      <w:r>
        <w:rPr>
          <w:rFonts w:ascii="Times New Roman" w:hAnsi="Times New Roman"/>
          <w:sz w:val="24"/>
        </w:rPr>
        <w:t>Review and give legal input on the annual Form 10-K: legal proceedings (Item 3), risk factor updates (Item 1A), and legal contingency footnotes.</w:t>
      </w:r>
    </w:p>
    <w:p>
      <w:pPr>
        <w:pStyle w:val="ListBullet"/>
      </w:pPr>
      <w:r>
        <w:rPr>
          <w:rFonts w:ascii="Times New Roman" w:hAnsi="Times New Roman"/>
          <w:sz w:val="24"/>
        </w:rPr>
        <w:t>Review and give legal input on quarterly Form 10-Qs: updates to legal proceedings and contingencies.</w:t>
      </w:r>
    </w:p>
    <w:p>
      <w:pPr>
        <w:pStyle w:val="ListBullet"/>
      </w:pPr>
      <w:r>
        <w:rPr>
          <w:rFonts w:ascii="Times New Roman" w:hAnsi="Times New Roman"/>
          <w:sz w:val="24"/>
        </w:rPr>
        <w:t>Coordinate Form 8-K filings for reportable events: material definitive agreements, major acquisitions or dispositions, new direct financial obligations, changes in control, and officer or director changes.</w:t>
      </w:r>
    </w:p>
    <w:p>
      <w:pPr>
        <w:pStyle w:val="ListBullet"/>
      </w:pPr>
      <w:r>
        <w:rPr>
          <w:rFonts w:ascii="Times New Roman" w:hAnsi="Times New Roman"/>
          <w:sz w:val="24"/>
        </w:rPr>
        <w:t>Keep a log of possible 8-K trigger events and monitor activity across Acquisitions, Finance, and Asset Management to catch reportable events quickly.</w:t>
      </w:r>
    </w:p>
    <w:p>
      <w:pPr>
        <w:pStyle w:val="ListBullet"/>
      </w:pPr>
      <w:r>
        <w:rPr>
          <w:rFonts w:ascii="Times New Roman" w:hAnsi="Times New Roman"/>
          <w:sz w:val="24"/>
        </w:rPr>
        <w:t>Support proxy statements, information statements, and other SEC filings.</w:t>
      </w:r>
    </w:p>
    <w:p>
      <w:pPr>
        <w:pStyle w:val="ListBullet"/>
      </w:pPr>
      <w:r>
        <w:rPr>
          <w:rFonts w:ascii="Times New Roman" w:hAnsi="Times New Roman"/>
          <w:sz w:val="24"/>
        </w:rPr>
        <w:t>Coordinate Section 16 filings (Forms 3, 4, 5) for directors, officers, and big shareholders with outside securities counsel.</w:t>
      </w:r>
    </w:p>
    <w:p>
      <w:pPr>
        <w:spacing w:after="120"/>
      </w:pPr>
      <w:r>
        <w:rPr>
          <w:rFonts w:ascii="Times New Roman" w:hAnsi="Times New Roman"/>
          <w:sz w:val="24"/>
        </w:rPr>
        <w:t>Legal also sits on the Company's disclosure committee (or equivalent) and keeps an SEC Reporting Calendar with filing deadlines, earnings release dates, and blackout windows.</w:t>
      </w:r>
    </w:p>
    <w:p>
      <w:pPr>
        <w:spacing w:before="360" w:after="200"/>
      </w:pPr>
      <w:r>
        <w:rPr>
          <w:rFonts w:ascii="Times New Roman" w:hAnsi="Times New Roman"/>
          <w:b/>
          <w:sz w:val="24"/>
          <w:u w:val="single"/>
        </w:rPr>
        <w:t>H. Governance and Compliance Calendars</w:t>
      </w:r>
    </w:p>
    <w:p>
      <w:pPr>
        <w:spacing w:after="120"/>
      </w:pPr>
      <w:r>
        <w:rPr>
          <w:rFonts w:ascii="Times New Roman" w:hAnsi="Times New Roman"/>
          <w:sz w:val="24"/>
        </w:rPr>
        <w:t>Legal maintains two calendars in the Entity Management System with automated alerts: the Governance Calendar and the REIT Compliance Calendar. Review both at the quarterly Finance Coordination meeting (Section 9).</w:t>
      </w:r>
    </w:p>
    <w:p>
      <w:pPr>
        <w:spacing w:after="120"/>
      </w:pPr>
      <w:r>
        <w:rPr>
          <w:rFonts w:ascii="Times New Roman" w:hAnsi="Times New Roman"/>
          <w:b/>
          <w:sz w:val="24"/>
        </w:rPr>
        <w:t>Governance Calendar</w:t>
      </w:r>
      <w:r>
        <w:rPr>
          <w:rFonts w:ascii="Times New Roman" w:hAnsi="Times New Roman"/>
          <w:sz w:val="24"/>
        </w:rPr>
        <w:t xml:space="preserve"> includes at least:</w:t>
      </w:r>
    </w:p>
    <w:p>
      <w:pPr>
        <w:pStyle w:val="ListBullet"/>
      </w:pPr>
      <w:r>
        <w:rPr>
          <w:rFonts w:ascii="Times New Roman" w:hAnsi="Times New Roman"/>
          <w:sz w:val="24"/>
        </w:rPr>
        <w:t>Annual meetings (or written consents) for every entity that needs them.</w:t>
      </w:r>
    </w:p>
    <w:p>
      <w:pPr>
        <w:pStyle w:val="ListBullet"/>
      </w:pPr>
      <w:r>
        <w:rPr>
          <w:rFonts w:ascii="Times New Roman" w:hAnsi="Times New Roman"/>
          <w:sz w:val="24"/>
        </w:rPr>
        <w:t>Board and committee meeting dates and deliverable deadlines.</w:t>
      </w:r>
    </w:p>
    <w:p>
      <w:pPr>
        <w:pStyle w:val="ListBullet"/>
      </w:pPr>
      <w:r>
        <w:rPr>
          <w:rFonts w:ascii="Times New Roman" w:hAnsi="Times New Roman"/>
          <w:sz w:val="24"/>
        </w:rPr>
        <w:t>Annual officer and manager appointment or reappointment dates.</w:t>
      </w:r>
    </w:p>
    <w:p>
      <w:pPr>
        <w:pStyle w:val="ListBullet"/>
      </w:pPr>
      <w:r>
        <w:rPr>
          <w:rFonts w:ascii="Times New Roman" w:hAnsi="Times New Roman"/>
          <w:sz w:val="24"/>
        </w:rPr>
        <w:t>Annual conflict-of-interest questionnaire send and return dates.</w:t>
      </w:r>
    </w:p>
    <w:p>
      <w:pPr>
        <w:pStyle w:val="ListBullet"/>
      </w:pPr>
      <w:r>
        <w:rPr>
          <w:rFonts w:ascii="Times New Roman" w:hAnsi="Times New Roman"/>
          <w:sz w:val="24"/>
        </w:rPr>
        <w:t>Annual delegation of authority review and recirculation.</w:t>
      </w:r>
    </w:p>
    <w:p>
      <w:pPr>
        <w:pStyle w:val="ListBullet"/>
      </w:pPr>
      <w:r>
        <w:rPr>
          <w:rFonts w:ascii="Times New Roman" w:hAnsi="Times New Roman"/>
          <w:sz w:val="24"/>
        </w:rPr>
        <w:t>Authorized signatory list update and distribution.</w:t>
      </w:r>
    </w:p>
    <w:p>
      <w:pPr>
        <w:pStyle w:val="ListBullet"/>
      </w:pPr>
      <w:r>
        <w:rPr>
          <w:rFonts w:ascii="Times New Roman" w:hAnsi="Times New Roman"/>
          <w:sz w:val="24"/>
        </w:rPr>
        <w:t>Entity Records Attestation Report deadline (April 30).</w:t>
      </w:r>
    </w:p>
    <w:p>
      <w:pPr>
        <w:pStyle w:val="ListBullet"/>
      </w:pPr>
      <w:r>
        <w:rPr>
          <w:rFonts w:ascii="Times New Roman" w:hAnsi="Times New Roman"/>
          <w:sz w:val="24"/>
        </w:rPr>
        <w:t>Annual insurance renewal coordination with Risk Management.</w:t>
      </w:r>
    </w:p>
    <w:p>
      <w:pPr>
        <w:pStyle w:val="ListBullet"/>
      </w:pPr>
      <w:r>
        <w:rPr>
          <w:rFonts w:ascii="Times New Roman" w:hAnsi="Times New Roman"/>
          <w:sz w:val="24"/>
        </w:rPr>
        <w:t>SEC filing deadlines (10-K, 10-Q, 8-K, proxy).</w:t>
      </w:r>
    </w:p>
    <w:p>
      <w:pPr>
        <w:spacing w:after="120"/>
      </w:pPr>
      <w:r>
        <w:rPr>
          <w:rFonts w:ascii="Times New Roman" w:hAnsi="Times New Roman"/>
          <w:b/>
          <w:sz w:val="24"/>
        </w:rPr>
        <w:t>REIT Compliance Calendar</w:t>
      </w:r>
      <w:r>
        <w:rPr>
          <w:rFonts w:ascii="Times New Roman" w:hAnsi="Times New Roman"/>
          <w:sz w:val="24"/>
        </w:rPr>
        <w:t xml:space="preserve"> covers at least: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fill="D9E2F3" w:val="clear"/>
          </w:tcPr>
          <w:p>
            <w:pPr>
              <w:jc w:val="center"/>
            </w:pPr>
            <w:r/>
            <w:r>
              <w:rPr>
                <w:rFonts w:ascii="Times New Roman" w:hAnsi="Times New Roman"/>
                <w:b/>
                <w:sz w:val="20"/>
              </w:rPr>
              <w:t>Item</w:t>
            </w:r>
          </w:p>
        </w:tc>
        <w:tc>
          <w:tcPr>
            <w:tcW w:type="dxa" w:w="1440"/>
            <w:shd w:fill="D9E2F3" w:val="clear"/>
          </w:tcPr>
          <w:p>
            <w:pPr>
              <w:jc w:val="center"/>
            </w:pPr>
            <w:r/>
            <w:r>
              <w:rPr>
                <w:rFonts w:ascii="Times New Roman" w:hAnsi="Times New Roman"/>
                <w:b/>
                <w:sz w:val="20"/>
              </w:rPr>
              <w:t>Frequency</w:t>
            </w:r>
          </w:p>
        </w:tc>
        <w:tc>
          <w:tcPr>
            <w:tcW w:type="dxa" w:w="2592"/>
            <w:shd w:fill="D9E2F3" w:val="clear"/>
          </w:tcPr>
          <w:p>
            <w:pPr>
              <w:jc w:val="center"/>
            </w:pPr>
            <w:r/>
            <w:r>
              <w:rPr>
                <w:rFonts w:ascii="Times New Roman" w:hAnsi="Times New Roman"/>
                <w:b/>
                <w:sz w:val="20"/>
              </w:rPr>
              <w:t>Who</w:t>
            </w:r>
          </w:p>
        </w:tc>
        <w:tc>
          <w:tcPr>
            <w:tcW w:type="dxa" w:w="2448"/>
            <w:shd w:fill="D9E2F3" w:val="clear"/>
          </w:tcPr>
          <w:p>
            <w:pPr>
              <w:jc w:val="center"/>
            </w:pPr>
            <w:r/>
            <w:r>
              <w:rPr>
                <w:rFonts w:ascii="Times New Roman" w:hAnsi="Times New Roman"/>
                <w:b/>
                <w:sz w:val="20"/>
              </w:rPr>
              <w:t>Deadline</w:t>
            </w:r>
          </w:p>
        </w:tc>
      </w:tr>
      <w:tr>
        <w:tc>
          <w:tcPr>
            <w:tcW w:type="dxa" w:w="2880"/>
          </w:tcPr>
          <w:p>
            <w:r/>
            <w:r>
              <w:rPr>
                <w:rFonts w:ascii="Times New Roman" w:hAnsi="Times New Roman"/>
                <w:sz w:val="20"/>
              </w:rPr>
              <w:t>Asset Test review (75%, 5%/10%, TRS 20%)</w:t>
            </w:r>
          </w:p>
        </w:tc>
        <w:tc>
          <w:tcPr>
            <w:tcW w:type="dxa" w:w="1440"/>
          </w:tcPr>
          <w:p>
            <w:r/>
            <w:r>
              <w:rPr>
                <w:rFonts w:ascii="Times New Roman" w:hAnsi="Times New Roman"/>
                <w:sz w:val="20"/>
              </w:rPr>
              <w:t>Quarterly</w:t>
            </w:r>
          </w:p>
        </w:tc>
        <w:tc>
          <w:tcPr>
            <w:tcW w:type="dxa" w:w="2592"/>
          </w:tcPr>
          <w:p>
            <w:r/>
            <w:r>
              <w:rPr>
                <w:rFonts w:ascii="Times New Roman" w:hAnsi="Times New Roman"/>
                <w:sz w:val="20"/>
              </w:rPr>
              <w:t>Finance + Legal + Tax Advisor</w:t>
            </w:r>
          </w:p>
        </w:tc>
        <w:tc>
          <w:tcPr>
            <w:tcW w:type="dxa" w:w="2448"/>
          </w:tcPr>
          <w:p>
            <w:r/>
            <w:r>
              <w:rPr>
                <w:rFonts w:ascii="Times New Roman" w:hAnsi="Times New Roman"/>
                <w:sz w:val="20"/>
              </w:rPr>
              <w:t>Within 30 days after quarter-end</w:t>
            </w:r>
          </w:p>
        </w:tc>
      </w:tr>
      <w:tr>
        <w:tc>
          <w:tcPr>
            <w:tcW w:type="dxa" w:w="2880"/>
          </w:tcPr>
          <w:p>
            <w:r/>
            <w:r>
              <w:rPr>
                <w:rFonts w:ascii="Times New Roman" w:hAnsi="Times New Roman"/>
                <w:sz w:val="20"/>
              </w:rPr>
              <w:t>Gross Income Test review (75% and 95%)</w:t>
            </w:r>
          </w:p>
        </w:tc>
        <w:tc>
          <w:tcPr>
            <w:tcW w:type="dxa" w:w="1440"/>
          </w:tcPr>
          <w:p>
            <w:r/>
            <w:r>
              <w:rPr>
                <w:rFonts w:ascii="Times New Roman" w:hAnsi="Times New Roman"/>
                <w:sz w:val="20"/>
              </w:rPr>
              <w:t>Quarterly</w:t>
            </w:r>
          </w:p>
        </w:tc>
        <w:tc>
          <w:tcPr>
            <w:tcW w:type="dxa" w:w="2592"/>
          </w:tcPr>
          <w:p>
            <w:r/>
            <w:r>
              <w:rPr>
                <w:rFonts w:ascii="Times New Roman" w:hAnsi="Times New Roman"/>
                <w:sz w:val="20"/>
              </w:rPr>
              <w:t>Finance + Legal + Tax Advisor</w:t>
            </w:r>
          </w:p>
        </w:tc>
        <w:tc>
          <w:tcPr>
            <w:tcW w:type="dxa" w:w="2448"/>
          </w:tcPr>
          <w:p>
            <w:r/>
            <w:r>
              <w:rPr>
                <w:rFonts w:ascii="Times New Roman" w:hAnsi="Times New Roman"/>
                <w:sz w:val="20"/>
              </w:rPr>
              <w:t>Within 30 days after quarter-end</w:t>
            </w:r>
          </w:p>
        </w:tc>
      </w:tr>
      <w:tr>
        <w:tc>
          <w:tcPr>
            <w:tcW w:type="dxa" w:w="2880"/>
          </w:tcPr>
          <w:p>
            <w:r/>
            <w:r>
              <w:rPr>
                <w:rFonts w:ascii="Times New Roman" w:hAnsi="Times New Roman"/>
                <w:sz w:val="20"/>
              </w:rPr>
              <w:t>Distribution Requirement math</w:t>
            </w:r>
          </w:p>
        </w:tc>
        <w:tc>
          <w:tcPr>
            <w:tcW w:type="dxa" w:w="1440"/>
          </w:tcPr>
          <w:p>
            <w:r/>
            <w:r>
              <w:rPr>
                <w:rFonts w:ascii="Times New Roman" w:hAnsi="Times New Roman"/>
                <w:sz w:val="20"/>
              </w:rPr>
              <w:t>Annually</w:t>
            </w:r>
          </w:p>
        </w:tc>
        <w:tc>
          <w:tcPr>
            <w:tcW w:type="dxa" w:w="2592"/>
          </w:tcPr>
          <w:p>
            <w:r/>
            <w:r>
              <w:rPr>
                <w:rFonts w:ascii="Times New Roman" w:hAnsi="Times New Roman"/>
                <w:sz w:val="20"/>
              </w:rPr>
              <w:t>Finance + Legal + Tax Advisor</w:t>
            </w:r>
          </w:p>
        </w:tc>
        <w:tc>
          <w:tcPr>
            <w:tcW w:type="dxa" w:w="2448"/>
          </w:tcPr>
          <w:p>
            <w:r/>
            <w:r>
              <w:rPr>
                <w:rFonts w:ascii="Times New Roman" w:hAnsi="Times New Roman"/>
                <w:sz w:val="20"/>
              </w:rPr>
              <w:t>Within 60 days after tax year-end</w:t>
            </w:r>
          </w:p>
        </w:tc>
      </w:tr>
      <w:tr>
        <w:tc>
          <w:tcPr>
            <w:tcW w:type="dxa" w:w="2880"/>
          </w:tcPr>
          <w:p>
            <w:r/>
            <w:r>
              <w:rPr>
                <w:rFonts w:ascii="Times New Roman" w:hAnsi="Times New Roman"/>
                <w:sz w:val="20"/>
              </w:rPr>
              <w:t>100 Shareholder Test</w:t>
            </w:r>
          </w:p>
        </w:tc>
        <w:tc>
          <w:tcPr>
            <w:tcW w:type="dxa" w:w="1440"/>
          </w:tcPr>
          <w:p>
            <w:r/>
            <w:r>
              <w:rPr>
                <w:rFonts w:ascii="Times New Roman" w:hAnsi="Times New Roman"/>
                <w:sz w:val="20"/>
              </w:rPr>
              <w:t>Annually</w:t>
            </w:r>
          </w:p>
        </w:tc>
        <w:tc>
          <w:tcPr>
            <w:tcW w:type="dxa" w:w="2592"/>
          </w:tcPr>
          <w:p>
            <w:r/>
            <w:r>
              <w:rPr>
                <w:rFonts w:ascii="Times New Roman" w:hAnsi="Times New Roman"/>
                <w:sz w:val="20"/>
              </w:rPr>
              <w:t>Finance + Transfer Agent</w:t>
            </w:r>
          </w:p>
        </w:tc>
        <w:tc>
          <w:tcPr>
            <w:tcW w:type="dxa" w:w="2448"/>
          </w:tcPr>
          <w:p>
            <w:r/>
            <w:r>
              <w:rPr>
                <w:rFonts w:ascii="Times New Roman" w:hAnsi="Times New Roman"/>
                <w:sz w:val="20"/>
              </w:rPr>
              <w:t>Before year-end (335-day count)</w:t>
            </w:r>
          </w:p>
        </w:tc>
      </w:tr>
      <w:tr>
        <w:tc>
          <w:tcPr>
            <w:tcW w:type="dxa" w:w="2880"/>
          </w:tcPr>
          <w:p>
            <w:r/>
            <w:r>
              <w:rPr>
                <w:rFonts w:ascii="Times New Roman" w:hAnsi="Times New Roman"/>
                <w:sz w:val="20"/>
              </w:rPr>
              <w:t>5/50 Ownership Concentration Test</w:t>
            </w:r>
          </w:p>
        </w:tc>
        <w:tc>
          <w:tcPr>
            <w:tcW w:type="dxa" w:w="1440"/>
          </w:tcPr>
          <w:p>
            <w:r/>
            <w:r>
              <w:rPr>
                <w:rFonts w:ascii="Times New Roman" w:hAnsi="Times New Roman"/>
                <w:sz w:val="20"/>
              </w:rPr>
              <w:t>Semi-annually</w:t>
            </w:r>
          </w:p>
        </w:tc>
        <w:tc>
          <w:tcPr>
            <w:tcW w:type="dxa" w:w="2592"/>
          </w:tcPr>
          <w:p>
            <w:r/>
            <w:r>
              <w:rPr>
                <w:rFonts w:ascii="Times New Roman" w:hAnsi="Times New Roman"/>
                <w:sz w:val="20"/>
              </w:rPr>
              <w:t>Finance + Transfer Agent</w:t>
            </w:r>
          </w:p>
        </w:tc>
        <w:tc>
          <w:tcPr>
            <w:tcW w:type="dxa" w:w="2448"/>
          </w:tcPr>
          <w:p>
            <w:r/>
            <w:r>
              <w:rPr>
                <w:rFonts w:ascii="Times New Roman" w:hAnsi="Times New Roman"/>
                <w:sz w:val="20"/>
              </w:rPr>
              <w:t>Second half of each tax year</w:t>
            </w:r>
          </w:p>
        </w:tc>
      </w:tr>
      <w:tr>
        <w:tc>
          <w:tcPr>
            <w:tcW w:type="dxa" w:w="2880"/>
          </w:tcPr>
          <w:p>
            <w:r/>
            <w:r>
              <w:rPr>
                <w:rFonts w:ascii="Times New Roman" w:hAnsi="Times New Roman"/>
                <w:sz w:val="20"/>
              </w:rPr>
              <w:t>TRS Activity and Income review</w:t>
            </w:r>
          </w:p>
        </w:tc>
        <w:tc>
          <w:tcPr>
            <w:tcW w:type="dxa" w:w="1440"/>
          </w:tcPr>
          <w:p>
            <w:r/>
            <w:r>
              <w:rPr>
                <w:rFonts w:ascii="Times New Roman" w:hAnsi="Times New Roman"/>
                <w:sz w:val="20"/>
              </w:rPr>
              <w:t>Quarterly</w:t>
            </w:r>
          </w:p>
        </w:tc>
        <w:tc>
          <w:tcPr>
            <w:tcW w:type="dxa" w:w="2592"/>
          </w:tcPr>
          <w:p>
            <w:r/>
            <w:r>
              <w:rPr>
                <w:rFonts w:ascii="Times New Roman" w:hAnsi="Times New Roman"/>
                <w:sz w:val="20"/>
              </w:rPr>
              <w:t>Finance + Legal + Tax Advisor</w:t>
            </w:r>
          </w:p>
        </w:tc>
        <w:tc>
          <w:tcPr>
            <w:tcW w:type="dxa" w:w="2448"/>
          </w:tcPr>
          <w:p>
            <w:r/>
            <w:r>
              <w:rPr>
                <w:rFonts w:ascii="Times New Roman" w:hAnsi="Times New Roman"/>
                <w:sz w:val="20"/>
              </w:rPr>
              <w:t>Within 30 days after quarter-end</w:t>
            </w:r>
          </w:p>
        </w:tc>
      </w:tr>
      <w:tr>
        <w:tc>
          <w:tcPr>
            <w:tcW w:type="dxa" w:w="2880"/>
          </w:tcPr>
          <w:p>
            <w:r/>
            <w:r>
              <w:rPr>
                <w:rFonts w:ascii="Times New Roman" w:hAnsi="Times New Roman"/>
                <w:sz w:val="20"/>
              </w:rPr>
              <w:t>Related-Party Rent review (IRC 856(d))</w:t>
            </w:r>
          </w:p>
        </w:tc>
        <w:tc>
          <w:tcPr>
            <w:tcW w:type="dxa" w:w="1440"/>
          </w:tcPr>
          <w:p>
            <w:r/>
            <w:r>
              <w:rPr>
                <w:rFonts w:ascii="Times New Roman" w:hAnsi="Times New Roman"/>
                <w:sz w:val="20"/>
              </w:rPr>
              <w:t>Quarterly</w:t>
            </w:r>
          </w:p>
        </w:tc>
        <w:tc>
          <w:tcPr>
            <w:tcW w:type="dxa" w:w="2592"/>
          </w:tcPr>
          <w:p>
            <w:r/>
            <w:r>
              <w:rPr>
                <w:rFonts w:ascii="Times New Roman" w:hAnsi="Times New Roman"/>
                <w:sz w:val="20"/>
              </w:rPr>
              <w:t>Finance + Legal + Tax Advisor</w:t>
            </w:r>
          </w:p>
        </w:tc>
        <w:tc>
          <w:tcPr>
            <w:tcW w:type="dxa" w:w="2448"/>
          </w:tcPr>
          <w:p>
            <w:r/>
            <w:r>
              <w:rPr>
                <w:rFonts w:ascii="Times New Roman" w:hAnsi="Times New Roman"/>
                <w:sz w:val="20"/>
              </w:rPr>
              <w:t>Within 30 days after quarter-end</w:t>
            </w:r>
          </w:p>
        </w:tc>
      </w:tr>
      <w:tr>
        <w:tc>
          <w:tcPr>
            <w:tcW w:type="dxa" w:w="2880"/>
          </w:tcPr>
          <w:p>
            <w:r/>
            <w:r>
              <w:rPr>
                <w:rFonts w:ascii="Times New Roman" w:hAnsi="Times New Roman"/>
                <w:sz w:val="20"/>
              </w:rPr>
              <w:t>Impermissible Tenant Service Income review</w:t>
            </w:r>
          </w:p>
        </w:tc>
        <w:tc>
          <w:tcPr>
            <w:tcW w:type="dxa" w:w="1440"/>
          </w:tcPr>
          <w:p>
            <w:r/>
            <w:r>
              <w:rPr>
                <w:rFonts w:ascii="Times New Roman" w:hAnsi="Times New Roman"/>
                <w:sz w:val="20"/>
              </w:rPr>
              <w:t>Quarterly</w:t>
            </w:r>
          </w:p>
        </w:tc>
        <w:tc>
          <w:tcPr>
            <w:tcW w:type="dxa" w:w="2592"/>
          </w:tcPr>
          <w:p>
            <w:r/>
            <w:r>
              <w:rPr>
                <w:rFonts w:ascii="Times New Roman" w:hAnsi="Times New Roman"/>
                <w:sz w:val="20"/>
              </w:rPr>
              <w:t>Finance + Legal + Asset Mgmt</w:t>
            </w:r>
          </w:p>
        </w:tc>
        <w:tc>
          <w:tcPr>
            <w:tcW w:type="dxa" w:w="2448"/>
          </w:tcPr>
          <w:p>
            <w:r/>
            <w:r>
              <w:rPr>
                <w:rFonts w:ascii="Times New Roman" w:hAnsi="Times New Roman"/>
                <w:sz w:val="20"/>
              </w:rPr>
              <w:t>Within 30 days after quarter-end</w:t>
            </w:r>
          </w:p>
        </w:tc>
      </w:tr>
      <w:tr>
        <w:tc>
          <w:tcPr>
            <w:tcW w:type="dxa" w:w="2880"/>
          </w:tcPr>
          <w:p>
            <w:r/>
            <w:r>
              <w:rPr>
                <w:rFonts w:ascii="Times New Roman" w:hAnsi="Times New Roman"/>
                <w:sz w:val="20"/>
              </w:rPr>
              <w:t>Prohibited Transaction screen (IRC 857(b)(6))</w:t>
            </w:r>
          </w:p>
        </w:tc>
        <w:tc>
          <w:tcPr>
            <w:tcW w:type="dxa" w:w="1440"/>
          </w:tcPr>
          <w:p>
            <w:r/>
            <w:r>
              <w:rPr>
                <w:rFonts w:ascii="Times New Roman" w:hAnsi="Times New Roman"/>
                <w:sz w:val="20"/>
              </w:rPr>
              <w:t>Per deal</w:t>
            </w:r>
          </w:p>
        </w:tc>
        <w:tc>
          <w:tcPr>
            <w:tcW w:type="dxa" w:w="2592"/>
          </w:tcPr>
          <w:p>
            <w:r/>
            <w:r>
              <w:rPr>
                <w:rFonts w:ascii="Times New Roman" w:hAnsi="Times New Roman"/>
                <w:sz w:val="20"/>
              </w:rPr>
              <w:t>Legal + Tax Advisor</w:t>
            </w:r>
          </w:p>
        </w:tc>
        <w:tc>
          <w:tcPr>
            <w:tcW w:type="dxa" w:w="2448"/>
          </w:tcPr>
          <w:p>
            <w:r/>
            <w:r>
              <w:rPr>
                <w:rFonts w:ascii="Times New Roman" w:hAnsi="Times New Roman"/>
                <w:sz w:val="20"/>
              </w:rPr>
              <w:t>Before every disposition closes</w:t>
            </w:r>
          </w:p>
        </w:tc>
      </w:tr>
      <w:tr>
        <w:tc>
          <w:tcPr>
            <w:tcW w:type="dxa" w:w="2880"/>
          </w:tcPr>
          <w:p>
            <w:r/>
            <w:r>
              <w:rPr>
                <w:rFonts w:ascii="Times New Roman" w:hAnsi="Times New Roman"/>
                <w:sz w:val="20"/>
              </w:rPr>
              <w:t>Annual REIT Compliance Certification</w:t>
            </w:r>
          </w:p>
        </w:tc>
        <w:tc>
          <w:tcPr>
            <w:tcW w:type="dxa" w:w="1440"/>
          </w:tcPr>
          <w:p>
            <w:r/>
            <w:r>
              <w:rPr>
                <w:rFonts w:ascii="Times New Roman" w:hAnsi="Times New Roman"/>
                <w:sz w:val="20"/>
              </w:rPr>
              <w:t>Annually</w:t>
            </w:r>
          </w:p>
        </w:tc>
        <w:tc>
          <w:tcPr>
            <w:tcW w:type="dxa" w:w="2592"/>
          </w:tcPr>
          <w:p>
            <w:r/>
            <w:r>
              <w:rPr>
                <w:rFonts w:ascii="Times New Roman" w:hAnsi="Times New Roman"/>
                <w:sz w:val="20"/>
              </w:rPr>
              <w:t>GC + CFO</w:t>
            </w:r>
          </w:p>
        </w:tc>
        <w:tc>
          <w:tcPr>
            <w:tcW w:type="dxa" w:w="2448"/>
          </w:tcPr>
          <w:p>
            <w:r/>
            <w:r>
              <w:rPr>
                <w:rFonts w:ascii="Times New Roman" w:hAnsi="Times New Roman"/>
                <w:sz w:val="20"/>
              </w:rPr>
              <w:t>Within 90 days after tax year-end</w:t>
            </w:r>
          </w:p>
        </w:tc>
      </w:tr>
      <w:tr>
        <w:tc>
          <w:tcPr>
            <w:tcW w:type="dxa" w:w="2880"/>
          </w:tcPr>
          <w:p>
            <w:r/>
            <w:r>
              <w:rPr>
                <w:rFonts w:ascii="Times New Roman" w:hAnsi="Times New Roman"/>
                <w:sz w:val="20"/>
              </w:rPr>
              <w:t>State Filing Compliance review</w:t>
            </w:r>
          </w:p>
        </w:tc>
        <w:tc>
          <w:tcPr>
            <w:tcW w:type="dxa" w:w="1440"/>
          </w:tcPr>
          <w:p>
            <w:r/>
            <w:r>
              <w:rPr>
                <w:rFonts w:ascii="Times New Roman" w:hAnsi="Times New Roman"/>
                <w:sz w:val="20"/>
              </w:rPr>
              <w:t>Quarterly</w:t>
            </w:r>
          </w:p>
        </w:tc>
        <w:tc>
          <w:tcPr>
            <w:tcW w:type="dxa" w:w="2592"/>
          </w:tcPr>
          <w:p>
            <w:r/>
            <w:r>
              <w:rPr>
                <w:rFonts w:ascii="Times New Roman" w:hAnsi="Times New Roman"/>
                <w:sz w:val="20"/>
              </w:rPr>
              <w:t>Legal + Registered Agent</w:t>
            </w:r>
          </w:p>
        </w:tc>
        <w:tc>
          <w:tcPr>
            <w:tcW w:type="dxa" w:w="2448"/>
          </w:tcPr>
          <w:p>
            <w:r/>
            <w:r>
              <w:rPr>
                <w:rFonts w:ascii="Times New Roman" w:hAnsi="Times New Roman"/>
                <w:sz w:val="20"/>
              </w:rPr>
              <w:t>15th of the month after quarter-end</w:t>
            </w:r>
          </w:p>
        </w:tc>
      </w:tr>
      <w:tr>
        <w:tc>
          <w:tcPr>
            <w:tcW w:type="dxa" w:w="2880"/>
          </w:tcPr>
          <w:p>
            <w:r/>
            <w:r>
              <w:rPr>
                <w:rFonts w:ascii="Times New Roman" w:hAnsi="Times New Roman"/>
                <w:sz w:val="20"/>
              </w:rPr>
              <w:t>Good Standing Certificate collection</w:t>
            </w:r>
          </w:p>
        </w:tc>
        <w:tc>
          <w:tcPr>
            <w:tcW w:type="dxa" w:w="1440"/>
          </w:tcPr>
          <w:p>
            <w:r/>
            <w:r>
              <w:rPr>
                <w:rFonts w:ascii="Times New Roman" w:hAnsi="Times New Roman"/>
                <w:sz w:val="20"/>
              </w:rPr>
              <w:t>Annually</w:t>
            </w:r>
          </w:p>
        </w:tc>
        <w:tc>
          <w:tcPr>
            <w:tcW w:type="dxa" w:w="2592"/>
          </w:tcPr>
          <w:p>
            <w:r/>
            <w:r>
              <w:rPr>
                <w:rFonts w:ascii="Times New Roman" w:hAnsi="Times New Roman"/>
                <w:sz w:val="20"/>
              </w:rPr>
              <w:t>Legal + Registered Agent</w:t>
            </w:r>
          </w:p>
        </w:tc>
        <w:tc>
          <w:tcPr>
            <w:tcW w:type="dxa" w:w="2448"/>
          </w:tcPr>
          <w:p>
            <w:r/>
            <w:r>
              <w:rPr>
                <w:rFonts w:ascii="Times New Roman" w:hAnsi="Times New Roman"/>
                <w:sz w:val="20"/>
              </w:rPr>
              <w:t>By March 31</w:t>
            </w:r>
          </w:p>
        </w:tc>
      </w:tr>
    </w:tbl>
    <w:p/>
    <w:p>
      <w:pPr>
        <w:spacing w:before="360" w:after="200"/>
      </w:pPr>
      <w:r>
        <w:rPr>
          <w:rFonts w:ascii="Times New Roman" w:hAnsi="Times New Roman"/>
          <w:b/>
          <w:sz w:val="24"/>
          <w:u w:val="single"/>
        </w:rPr>
        <w:t>I. Reporting Compliance Concerns (Whistleblower)</w:t>
      </w:r>
    </w:p>
    <w:p>
      <w:pPr>
        <w:spacing w:after="120"/>
      </w:pPr>
      <w:r>
        <w:rPr>
          <w:rFonts w:ascii="Times New Roman" w:hAnsi="Times New Roman"/>
          <w:sz w:val="24"/>
        </w:rPr>
        <w:t>The Company wants employees, officers, contractors, and others to report suspected problems without fear of retaliation. Legal runs the internal reporting process.</w:t>
      </w:r>
    </w:p>
    <w:p>
      <w:pPr>
        <w:spacing w:after="120"/>
      </w:pPr>
      <w:r>
        <w:rPr>
          <w:rFonts w:ascii="Times New Roman" w:hAnsi="Times New Roman"/>
          <w:b/>
          <w:sz w:val="24"/>
        </w:rPr>
        <w:t>How to report.</w:t>
      </w:r>
      <w:r>
        <w:rPr>
          <w:rFonts w:ascii="Times New Roman" w:hAnsi="Times New Roman"/>
          <w:sz w:val="24"/>
        </w:rPr>
        <w:t xml:space="preserve"> Use any of these channels:</w:t>
      </w:r>
    </w:p>
    <w:p>
      <w:pPr>
        <w:pStyle w:val="ListBullet"/>
      </w:pPr>
      <w:r>
        <w:rPr>
          <w:rFonts w:ascii="Times New Roman" w:hAnsi="Times New Roman"/>
          <w:sz w:val="24"/>
        </w:rPr>
        <w:t>Directly to the GC or any attorney in Legal (in person, phone, or email).</w:t>
      </w:r>
    </w:p>
    <w:p>
      <w:pPr>
        <w:pStyle w:val="ListBullet"/>
      </w:pPr>
      <w:r>
        <w:rPr>
          <w:rFonts w:ascii="Times New Roman" w:hAnsi="Times New Roman"/>
          <w:sz w:val="24"/>
        </w:rPr>
        <w:t>The Company's anonymous ethics and compliance hotline, run by a third party (phone or web).</w:t>
      </w:r>
    </w:p>
    <w:p>
      <w:pPr>
        <w:pStyle w:val="ListBullet"/>
      </w:pPr>
      <w:r>
        <w:rPr>
          <w:rFonts w:ascii="Times New Roman" w:hAnsi="Times New Roman"/>
          <w:sz w:val="24"/>
        </w:rPr>
        <w:t>In writing to the Chair of the Audit Committee, mailed to the Company's registered office and marked "Confidential – Audit Committee."</w:t>
      </w:r>
    </w:p>
    <w:p>
      <w:pPr>
        <w:spacing w:after="120"/>
      </w:pPr>
      <w:r>
        <w:rPr>
          <w:rFonts w:ascii="Times New Roman" w:hAnsi="Times New Roman"/>
          <w:b/>
          <w:sz w:val="24"/>
        </w:rPr>
        <w:t>What you can report.</w:t>
      </w:r>
      <w:r>
        <w:rPr>
          <w:rFonts w:ascii="Times New Roman" w:hAnsi="Times New Roman"/>
          <w:sz w:val="24"/>
        </w:rPr>
        <w:t xml:space="preserve"> The process covers:</w:t>
      </w:r>
    </w:p>
    <w:p>
      <w:pPr>
        <w:pStyle w:val="ListBullet"/>
      </w:pPr>
      <w:r>
        <w:rPr>
          <w:rFonts w:ascii="Times New Roman" w:hAnsi="Times New Roman"/>
          <w:sz w:val="24"/>
        </w:rPr>
        <w:t>Suspected fraud, embezzlement, or financial problems.</w:t>
      </w:r>
    </w:p>
    <w:p>
      <w:pPr>
        <w:pStyle w:val="ListBullet"/>
      </w:pPr>
      <w:r>
        <w:rPr>
          <w:rFonts w:ascii="Times New Roman" w:hAnsi="Times New Roman"/>
          <w:sz w:val="24"/>
        </w:rPr>
        <w:t>Violations of securities laws, REIT rules, or tax laws.</w:t>
      </w:r>
    </w:p>
    <w:p>
      <w:pPr>
        <w:pStyle w:val="ListBullet"/>
      </w:pPr>
      <w:r>
        <w:rPr>
          <w:rFonts w:ascii="Times New Roman" w:hAnsi="Times New Roman"/>
          <w:sz w:val="24"/>
        </w:rPr>
        <w:t>Violations of the Company's Code of Business Conduct and Ethics.</w:t>
      </w:r>
    </w:p>
    <w:p>
      <w:pPr>
        <w:pStyle w:val="ListBullet"/>
      </w:pPr>
      <w:r>
        <w:rPr>
          <w:rFonts w:ascii="Times New Roman" w:hAnsi="Times New Roman"/>
          <w:sz w:val="24"/>
        </w:rPr>
        <w:t>Suspected environmental, health, or safety violations.</w:t>
      </w:r>
    </w:p>
    <w:p>
      <w:pPr>
        <w:pStyle w:val="ListBullet"/>
      </w:pPr>
      <w:r>
        <w:rPr>
          <w:rFonts w:ascii="Times New Roman" w:hAnsi="Times New Roman"/>
          <w:sz w:val="24"/>
        </w:rPr>
        <w:t>Suspected violations of fair housing laws, the Americans with Disabilities Act (ADA), or other anti-discrimination laws.</w:t>
      </w:r>
    </w:p>
    <w:p>
      <w:pPr>
        <w:pStyle w:val="ListBullet"/>
      </w:pPr>
      <w:r>
        <w:rPr>
          <w:rFonts w:ascii="Times New Roman" w:hAnsi="Times New Roman"/>
          <w:sz w:val="24"/>
        </w:rPr>
        <w:t>Undisclosed conflicts of interest or related-party deals.</w:t>
      </w:r>
    </w:p>
    <w:p>
      <w:pPr>
        <w:pStyle w:val="ListBullet"/>
      </w:pPr>
      <w:r>
        <w:rPr>
          <w:rFonts w:ascii="Times New Roman" w:hAnsi="Times New Roman"/>
          <w:sz w:val="24"/>
        </w:rPr>
        <w:t>Retaliation against anyone who reported in good faith.</w:t>
      </w:r>
    </w:p>
    <w:p>
      <w:pPr>
        <w:spacing w:after="120"/>
      </w:pPr>
      <w:r>
        <w:rPr>
          <w:rFonts w:ascii="Times New Roman" w:hAnsi="Times New Roman"/>
          <w:b/>
          <w:sz w:val="24"/>
        </w:rPr>
        <w:t>What happens next</w:t>
      </w:r>
    </w:p>
    <w:p>
      <w:pPr>
        <w:pStyle w:val="ListNumber"/>
      </w:pPr>
      <w:r>
        <w:rPr>
          <w:rFonts w:ascii="Times New Roman" w:hAnsi="Times New Roman"/>
          <w:sz w:val="24"/>
        </w:rPr>
        <w:t>Legal (or the hotline provider) logs the report and assigns a tracking number within 1 business day.</w:t>
      </w:r>
    </w:p>
    <w:p>
      <w:pPr>
        <w:pStyle w:val="ListNumber"/>
      </w:pPr>
      <w:r>
        <w:rPr>
          <w:rFonts w:ascii="Times New Roman" w:hAnsi="Times New Roman"/>
          <w:sz w:val="24"/>
        </w:rPr>
        <w:t>The GC does an initial review within 5 business days to figure out what's needed.</w:t>
      </w:r>
    </w:p>
    <w:p>
      <w:pPr>
        <w:pStyle w:val="ListNumber"/>
      </w:pPr>
      <w:r>
        <w:rPr>
          <w:rFonts w:ascii="Times New Roman" w:hAnsi="Times New Roman"/>
          <w:sz w:val="24"/>
        </w:rPr>
        <w:t>Financial reporting, accounting fraud, or audit issues go to the Audit Committee or its designee.</w:t>
      </w:r>
    </w:p>
    <w:p>
      <w:pPr>
        <w:pStyle w:val="ListNumber"/>
      </w:pPr>
      <w:r>
        <w:rPr>
          <w:rFonts w:ascii="Times New Roman" w:hAnsi="Times New Roman"/>
          <w:sz w:val="24"/>
        </w:rPr>
        <w:t>Legal runs the investigation, bringing in outside counsel or forensic specialists if needed.</w:t>
      </w:r>
    </w:p>
    <w:p>
      <w:pPr>
        <w:pStyle w:val="ListNumber"/>
      </w:pPr>
      <w:r>
        <w:rPr>
          <w:rFonts w:ascii="Times New Roman" w:hAnsi="Times New Roman"/>
          <w:sz w:val="24"/>
        </w:rPr>
        <w:t>When the investigation is done, Legal writes up findings and recommended actions.</w:t>
      </w:r>
    </w:p>
    <w:p>
      <w:pPr>
        <w:pStyle w:val="ListNumber"/>
      </w:pPr>
      <w:r>
        <w:rPr>
          <w:rFonts w:ascii="Times New Roman" w:hAnsi="Times New Roman"/>
          <w:sz w:val="24"/>
        </w:rPr>
        <w:t>The GC reports open and recently closed investigations to the Audit Committee at least quarterly.</w:t>
      </w:r>
    </w:p>
    <w:p>
      <w:pPr>
        <w:spacing w:after="120"/>
      </w:pPr>
      <w:r>
        <w:rPr>
          <w:rFonts w:ascii="Times New Roman" w:hAnsi="Times New Roman"/>
          <w:b/>
          <w:sz w:val="24"/>
        </w:rPr>
        <w:t>No retaliation.</w:t>
      </w:r>
    </w:p>
    <w:p>
      <w:pPr>
        <w:spacing w:after="120"/>
      </w:pPr>
      <w:r>
        <w:rPr>
          <w:rFonts w:ascii="Times New Roman" w:hAnsi="Times New Roman"/>
          <w:sz w:val="24"/>
        </w:rPr>
        <w:t>The Company prohibits retaliation against anyone who reports in good faith or takes part in an investigation. Retaliators face discipline, up to termination. Legal includes these protections in the employee handbook and covers them in annual training.</w:t>
      </w:r>
    </w:p>
    <w:p>
      <w:r>
        <w:br w:type="page"/>
      </w:r>
    </w:p>
    <w:p>
      <w:pPr>
        <w:spacing w:before="480" w:after="240"/>
      </w:pPr>
      <w:r>
        <w:rPr>
          <w:rFonts w:ascii="Times New Roman" w:hAnsi="Times New Roman"/>
          <w:b/>
          <w:sz w:val="24"/>
        </w:rPr>
        <w:t>8. CONFIDENTIALITY AND INFORMATION HANDLING</w:t>
      </w:r>
    </w:p>
    <w:p>
      <w:pPr>
        <w:spacing w:after="120"/>
      </w:pPr>
      <w:r>
        <w:rPr>
          <w:rFonts w:ascii="Times New Roman" w:hAnsi="Times New Roman"/>
          <w:sz w:val="24"/>
        </w:rPr>
        <w:t>Legal handles sensitive information: privileged communications, litigation materials, business secrets, tenant personal data, and compliance records. Handling this properly protects the Company and keeps us compliant with privacy, fair housing, and anti-discrimination laws.</w:t>
      </w:r>
    </w:p>
    <w:p>
      <w:pPr>
        <w:spacing w:before="360" w:after="200"/>
      </w:pPr>
      <w:r>
        <w:rPr>
          <w:rFonts w:ascii="Times New Roman" w:hAnsi="Times New Roman"/>
          <w:b/>
          <w:sz w:val="24"/>
          <w:u w:val="single"/>
        </w:rPr>
        <w:t>A. How We Classify Documents</w:t>
      </w:r>
    </w:p>
    <w:p>
      <w:pPr>
        <w:spacing w:after="120"/>
      </w:pPr>
      <w:r>
        <w:rPr>
          <w:rFonts w:ascii="Times New Roman" w:hAnsi="Times New Roman"/>
          <w:sz w:val="24"/>
        </w:rPr>
        <w:t>Every document Legal creates, receives, or keeps gets one of four classifications. The classification tells you how to handle, store, share, and destroy it.</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D9E2F3" w:val="clear"/>
          </w:tcPr>
          <w:p>
            <w:pPr>
              <w:jc w:val="center"/>
            </w:pPr>
            <w:r/>
            <w:r>
              <w:rPr>
                <w:rFonts w:ascii="Times New Roman" w:hAnsi="Times New Roman"/>
                <w:b/>
                <w:sz w:val="20"/>
              </w:rPr>
              <w:t>Level</w:t>
            </w:r>
          </w:p>
        </w:tc>
        <w:tc>
          <w:tcPr>
            <w:tcW w:type="dxa" w:w="3600"/>
            <w:shd w:fill="D9E2F3" w:val="clear"/>
          </w:tcPr>
          <w:p>
            <w:pPr>
              <w:jc w:val="center"/>
            </w:pPr>
            <w:r/>
            <w:r>
              <w:rPr>
                <w:rFonts w:ascii="Times New Roman" w:hAnsi="Times New Roman"/>
                <w:b/>
                <w:sz w:val="20"/>
              </w:rPr>
              <w:t>What It Means</w:t>
            </w:r>
          </w:p>
        </w:tc>
        <w:tc>
          <w:tcPr>
            <w:tcW w:type="dxa" w:w="3888"/>
            <w:shd w:fill="D9E2F3" w:val="clear"/>
          </w:tcPr>
          <w:p>
            <w:pPr>
              <w:jc w:val="center"/>
            </w:pPr>
            <w:r/>
            <w:r>
              <w:rPr>
                <w:rFonts w:ascii="Times New Roman" w:hAnsi="Times New Roman"/>
                <w:b/>
                <w:sz w:val="20"/>
              </w:rPr>
              <w:t>How to Handle It</w:t>
            </w:r>
          </w:p>
        </w:tc>
      </w:tr>
      <w:tr>
        <w:tc>
          <w:tcPr>
            <w:tcW w:type="dxa" w:w="1872"/>
          </w:tcPr>
          <w:p>
            <w:r/>
            <w:r>
              <w:rPr>
                <w:rFonts w:ascii="Times New Roman" w:hAnsi="Times New Roman"/>
                <w:sz w:val="20"/>
              </w:rPr>
              <w:t>PRIVILEGED</w:t>
            </w:r>
          </w:p>
        </w:tc>
        <w:tc>
          <w:tcPr>
            <w:tcW w:type="dxa" w:w="3600"/>
          </w:tcPr>
          <w:p>
            <w:r/>
            <w:r>
              <w:rPr>
                <w:rFonts w:ascii="Times New Roman" w:hAnsi="Times New Roman"/>
                <w:sz w:val="20"/>
              </w:rPr>
              <w:t>Attorney-client communications and attorney work product.</w:t>
            </w:r>
          </w:p>
        </w:tc>
        <w:tc>
          <w:tcPr>
            <w:tcW w:type="dxa" w:w="3888"/>
          </w:tcPr>
          <w:p>
            <w:r/>
            <w:r>
              <w:rPr>
                <w:rFonts w:ascii="Times New Roman" w:hAnsi="Times New Roman"/>
                <w:sz w:val="20"/>
              </w:rPr>
              <w:t>Only Legal and specifically authorized people can see it. Must carry the privilege header. Cannot leave the Company without GC approval. Store in access-controlled SharePoint folders with audit logs on.</w:t>
            </w:r>
          </w:p>
        </w:tc>
      </w:tr>
      <w:tr>
        <w:tc>
          <w:tcPr>
            <w:tcW w:type="dxa" w:w="1872"/>
          </w:tcPr>
          <w:p>
            <w:r/>
            <w:r>
              <w:rPr>
                <w:rFonts w:ascii="Times New Roman" w:hAnsi="Times New Roman"/>
                <w:sz w:val="20"/>
              </w:rPr>
              <w:t>CONFIDENTIAL</w:t>
            </w:r>
          </w:p>
        </w:tc>
        <w:tc>
          <w:tcPr>
            <w:tcW w:type="dxa" w:w="3600"/>
          </w:tcPr>
          <w:p>
            <w:r/>
            <w:r>
              <w:rPr>
                <w:rFonts w:ascii="Times New Roman" w:hAnsi="Times New Roman"/>
                <w:sz w:val="20"/>
              </w:rPr>
              <w:t>Not privileged but commercially sensitive: deal terms, tenant financials, settlement amounts, REIT data, personnel matters, whistleblower reports.</w:t>
            </w:r>
          </w:p>
        </w:tc>
        <w:tc>
          <w:tcPr>
            <w:tcW w:type="dxa" w:w="3888"/>
          </w:tcPr>
          <w:p>
            <w:r/>
            <w:r>
              <w:rPr>
                <w:rFonts w:ascii="Times New Roman" w:hAnsi="Times New Roman"/>
                <w:sz w:val="20"/>
              </w:rPr>
              <w:t>Only share with people who need it for their job. Label "CONFIDENTIAL." Store in access-controlled SharePoint folders. Cannot leave the Company without GC or authorized officer approval.</w:t>
            </w:r>
          </w:p>
        </w:tc>
      </w:tr>
      <w:tr>
        <w:tc>
          <w:tcPr>
            <w:tcW w:type="dxa" w:w="1872"/>
          </w:tcPr>
          <w:p>
            <w:r/>
            <w:r>
              <w:rPr>
                <w:rFonts w:ascii="Times New Roman" w:hAnsi="Times New Roman"/>
                <w:sz w:val="20"/>
              </w:rPr>
              <w:t>INTERNAL</w:t>
            </w:r>
          </w:p>
        </w:tc>
        <w:tc>
          <w:tcPr>
            <w:tcW w:type="dxa" w:w="3600"/>
          </w:tcPr>
          <w:p>
            <w:r/>
            <w:r>
              <w:rPr>
                <w:rFonts w:ascii="Times New Roman" w:hAnsi="Times New Roman"/>
                <w:sz w:val="20"/>
              </w:rPr>
              <w:t>For internal use, not public, but not Confidential: internal policies, standard forms, general legal updates.</w:t>
            </w:r>
          </w:p>
        </w:tc>
        <w:tc>
          <w:tcPr>
            <w:tcW w:type="dxa" w:w="3888"/>
          </w:tcPr>
          <w:p>
            <w:r/>
            <w:r>
              <w:rPr>
                <w:rFonts w:ascii="Times New Roman" w:hAnsi="Times New Roman"/>
                <w:sz w:val="20"/>
              </w:rPr>
              <w:t>Share freely inside the Company. Store in SharePoint. Don't share outside without department-head approval.</w:t>
            </w:r>
          </w:p>
        </w:tc>
      </w:tr>
      <w:tr>
        <w:tc>
          <w:tcPr>
            <w:tcW w:type="dxa" w:w="1872"/>
          </w:tcPr>
          <w:p>
            <w:r/>
            <w:r>
              <w:rPr>
                <w:rFonts w:ascii="Times New Roman" w:hAnsi="Times New Roman"/>
                <w:sz w:val="20"/>
              </w:rPr>
              <w:t>PUBLIC</w:t>
            </w:r>
          </w:p>
        </w:tc>
        <w:tc>
          <w:tcPr>
            <w:tcW w:type="dxa" w:w="3600"/>
          </w:tcPr>
          <w:p>
            <w:r/>
            <w:r>
              <w:rPr>
                <w:rFonts w:ascii="Times New Roman" w:hAnsi="Times New Roman"/>
                <w:sz w:val="20"/>
              </w:rPr>
              <w:t>Approved for public release: SEC filings, press releases, recorded documents.</w:t>
            </w:r>
          </w:p>
        </w:tc>
        <w:tc>
          <w:tcPr>
            <w:tcW w:type="dxa" w:w="3888"/>
          </w:tcPr>
          <w:p>
            <w:r/>
            <w:r>
              <w:rPr>
                <w:rFonts w:ascii="Times New Roman" w:hAnsi="Times New Roman"/>
                <w:sz w:val="20"/>
              </w:rPr>
              <w:t>No sharing restrictions. Store in SharePoint and public filing systems.</w:t>
            </w:r>
          </w:p>
        </w:tc>
      </w:tr>
    </w:tbl>
    <w:p/>
    <w:p>
      <w:pPr>
        <w:spacing w:after="120"/>
      </w:pPr>
      <w:r>
        <w:rPr>
          <w:rFonts w:ascii="Times New Roman" w:hAnsi="Times New Roman"/>
          <w:sz w:val="24"/>
        </w:rPr>
        <w:t>Pick the right level when you create the document. If you're not sure, treat it as CONFIDENTIAL until the GC or a designated attorney reviews it.</w:t>
      </w:r>
    </w:p>
    <w:p>
      <w:pPr>
        <w:spacing w:before="360" w:after="200"/>
      </w:pPr>
      <w:r>
        <w:rPr>
          <w:rFonts w:ascii="Times New Roman" w:hAnsi="Times New Roman"/>
          <w:b/>
          <w:sz w:val="24"/>
          <w:u w:val="single"/>
        </w:rPr>
        <w:t>B. What Counts as Confidential</w:t>
      </w:r>
    </w:p>
    <w:p>
      <w:pPr>
        <w:spacing w:after="120"/>
      </w:pPr>
      <w:r>
        <w:rPr>
          <w:rFonts w:ascii="Times New Roman" w:hAnsi="Times New Roman"/>
          <w:sz w:val="24"/>
        </w:rPr>
        <w:t>Confidential information includes (but isn't limited to):</w:t>
      </w:r>
    </w:p>
    <w:p>
      <w:pPr>
        <w:pStyle w:val="ListBullet"/>
      </w:pPr>
      <w:r>
        <w:rPr>
          <w:rFonts w:ascii="Times New Roman" w:hAnsi="Times New Roman"/>
          <w:sz w:val="24"/>
        </w:rPr>
        <w:t>Legal advice and attorney-client communications (these are PRIVILEGED).</w:t>
      </w:r>
    </w:p>
    <w:p>
      <w:pPr>
        <w:pStyle w:val="ListBullet"/>
      </w:pPr>
      <w:r>
        <w:rPr>
          <w:rFonts w:ascii="Times New Roman" w:hAnsi="Times New Roman"/>
          <w:sz w:val="24"/>
        </w:rPr>
        <w:t>Litigation strategy, work product, and settlement talks.</w:t>
      </w:r>
    </w:p>
    <w:p>
      <w:pPr>
        <w:pStyle w:val="ListBullet"/>
      </w:pPr>
      <w:r>
        <w:rPr>
          <w:rFonts w:ascii="Times New Roman" w:hAnsi="Times New Roman"/>
          <w:sz w:val="24"/>
        </w:rPr>
        <w:t>Tenant disputes, negotiations, and financial information.</w:t>
      </w:r>
    </w:p>
    <w:p>
      <w:pPr>
        <w:pStyle w:val="ListBullet"/>
      </w:pPr>
      <w:r>
        <w:rPr>
          <w:rFonts w:ascii="Times New Roman" w:hAnsi="Times New Roman"/>
          <w:sz w:val="24"/>
        </w:rPr>
        <w:t>Regulatory matters and government inquiries.</w:t>
      </w:r>
    </w:p>
    <w:p>
      <w:pPr>
        <w:pStyle w:val="ListBullet"/>
      </w:pPr>
      <w:r>
        <w:rPr>
          <w:rFonts w:ascii="Times New Roman" w:hAnsi="Times New Roman"/>
          <w:sz w:val="24"/>
        </w:rPr>
        <w:t>Deal information (purchase, sale, due diligence, financing).</w:t>
      </w:r>
    </w:p>
    <w:p>
      <w:pPr>
        <w:pStyle w:val="ListBullet"/>
      </w:pPr>
      <w:r>
        <w:rPr>
          <w:rFonts w:ascii="Times New Roman" w:hAnsi="Times New Roman"/>
          <w:sz w:val="24"/>
        </w:rPr>
        <w:t>REIT compliance data (asset tests, income tests, distributions).</w:t>
      </w:r>
    </w:p>
    <w:p>
      <w:pPr>
        <w:pStyle w:val="ListBullet"/>
      </w:pPr>
      <w:r>
        <w:rPr>
          <w:rFonts w:ascii="Times New Roman" w:hAnsi="Times New Roman"/>
          <w:sz w:val="24"/>
        </w:rPr>
        <w:t>Personnel matters (including whistleblower reports and investigation files).</w:t>
      </w:r>
    </w:p>
    <w:p>
      <w:pPr>
        <w:pStyle w:val="ListBullet"/>
      </w:pPr>
      <w:r>
        <w:rPr>
          <w:rFonts w:ascii="Times New Roman" w:hAnsi="Times New Roman"/>
          <w:sz w:val="24"/>
        </w:rPr>
        <w:t>Fair housing complaints, ADA accommodation requests, and anti-discrimination investigations.</w:t>
      </w:r>
    </w:p>
    <w:p>
      <w:pPr>
        <w:pStyle w:val="ListBullet"/>
      </w:pPr>
      <w:r>
        <w:rPr>
          <w:rFonts w:ascii="Times New Roman" w:hAnsi="Times New Roman"/>
          <w:sz w:val="24"/>
        </w:rPr>
        <w:t>Tenant personal information (financials, tax returns, guarantor info).</w:t>
      </w:r>
    </w:p>
    <w:p>
      <w:pPr>
        <w:spacing w:before="360" w:after="200"/>
      </w:pPr>
      <w:r>
        <w:rPr>
          <w:rFonts w:ascii="Times New Roman" w:hAnsi="Times New Roman"/>
          <w:b/>
          <w:sz w:val="24"/>
          <w:u w:val="single"/>
        </w:rPr>
        <w:t>C. Attorney-Client Privilege</w:t>
      </w:r>
    </w:p>
    <w:p>
      <w:pPr>
        <w:spacing w:after="120"/>
      </w:pPr>
      <w:r>
        <w:rPr>
          <w:rFonts w:ascii="Times New Roman" w:hAnsi="Times New Roman"/>
          <w:sz w:val="24"/>
        </w:rPr>
        <w:t>Communications with Legal that are meant to give or ask for legal advice are usually privileged. Keeping privilege protects the Company's ability to get candid advice and defend itself.</w:t>
      </w:r>
    </w:p>
    <w:p>
      <w:pPr>
        <w:spacing w:after="120"/>
      </w:pPr>
      <w:r>
        <w:rPr>
          <w:rFonts w:ascii="Times New Roman" w:hAnsi="Times New Roman"/>
          <w:sz w:val="24"/>
        </w:rPr>
        <w:t>Everyone should:</w:t>
      </w:r>
    </w:p>
    <w:p>
      <w:pPr>
        <w:pStyle w:val="ListBullet"/>
      </w:pPr>
      <w:r>
        <w:rPr>
          <w:rFonts w:ascii="Times New Roman" w:hAnsi="Times New Roman"/>
          <w:sz w:val="24"/>
        </w:rPr>
        <w:t>Only share privileged messages with people who need the advice.</w:t>
      </w:r>
    </w:p>
    <w:p>
      <w:pPr>
        <w:pStyle w:val="ListBullet"/>
      </w:pPr>
      <w:r>
        <w:rPr>
          <w:rFonts w:ascii="Times New Roman" w:hAnsi="Times New Roman"/>
          <w:sz w:val="24"/>
        </w:rPr>
        <w:t>Don't forward privileged emails outside the Company, or to anyone inside who wasn't on the original, without Legal's approval.</w:t>
      </w:r>
    </w:p>
    <w:p>
      <w:pPr>
        <w:pStyle w:val="ListBullet"/>
      </w:pPr>
      <w:r>
        <w:rPr>
          <w:rFonts w:ascii="Times New Roman" w:hAnsi="Times New Roman"/>
          <w:sz w:val="24"/>
        </w:rPr>
        <w:t>Don't copy or summarize legal advice into non-privileged documents (like board decks or memos to non-lawyers) without checking with Legal first.</w:t>
      </w:r>
    </w:p>
    <w:p>
      <w:pPr>
        <w:pStyle w:val="ListBullet"/>
      </w:pPr>
      <w:r>
        <w:rPr>
          <w:rFonts w:ascii="Times New Roman" w:hAnsi="Times New Roman"/>
          <w:sz w:val="24"/>
        </w:rPr>
        <w:t>Label privileged documents and emails with the privilege header.</w:t>
      </w:r>
    </w:p>
    <w:p>
      <w:pPr>
        <w:pStyle w:val="ListBullet"/>
      </w:pPr>
      <w:r>
        <w:rPr>
          <w:rFonts w:ascii="Times New Roman" w:hAnsi="Times New Roman"/>
          <w:sz w:val="24"/>
        </w:rPr>
        <w:t>Don't discuss legal advice in front of third parties (consultants, vendors, JV partners) unless Legal confirms a common-interest or joint-defense privilege applies.</w:t>
      </w:r>
    </w:p>
    <w:p>
      <w:pPr>
        <w:spacing w:after="120"/>
      </w:pPr>
      <w:r>
        <w:rPr>
          <w:rFonts w:ascii="Times New Roman" w:hAnsi="Times New Roman"/>
          <w:sz w:val="24"/>
        </w:rPr>
        <w:t>Privilege header to use: "PRIVILEGED AND CONFIDENTIAL – ATTORNEY-CLIENT COMMUNICATION. This communication is protected by the attorney-client privilege and/or the work product doctrine. Do not forward, copy, or disclose without prior authorization of the Legal Department."</w:t>
      </w:r>
    </w:p>
    <w:p>
      <w:pPr>
        <w:spacing w:after="120"/>
      </w:pPr>
      <w:r>
        <w:rPr>
          <w:rFonts w:ascii="Times New Roman" w:hAnsi="Times New Roman"/>
          <w:sz w:val="24"/>
        </w:rPr>
        <w:t>Legal runs privilege training for all employees at least once a year and gives new hires written guidance during onboarding.</w:t>
      </w:r>
    </w:p>
    <w:p>
      <w:pPr>
        <w:spacing w:before="360" w:after="200"/>
      </w:pPr>
      <w:r>
        <w:rPr>
          <w:rFonts w:ascii="Times New Roman" w:hAnsi="Times New Roman"/>
          <w:b/>
          <w:sz w:val="24"/>
          <w:u w:val="single"/>
        </w:rPr>
        <w:t>D. Digital Communications and Security</w:t>
      </w:r>
    </w:p>
    <w:p>
      <w:pPr>
        <w:spacing w:after="120"/>
      </w:pPr>
      <w:r>
        <w:rPr>
          <w:rFonts w:ascii="Times New Roman" w:hAnsi="Times New Roman"/>
          <w:sz w:val="24"/>
        </w:rPr>
        <w:t>Rules for handling privileged or confidential information in email, chat, video, cloud storage, and mobile devices:</w:t>
      </w:r>
    </w:p>
    <w:p>
      <w:pPr>
        <w:pStyle w:val="ListNumber"/>
      </w:pPr>
      <w:r>
        <w:rPr>
          <w:rFonts w:ascii="Times New Roman" w:hAnsi="Times New Roman"/>
          <w:sz w:val="24"/>
        </w:rPr>
        <w:t>**Email.** Use only the Company's approved email system. Never send or receive privileged or confidential information from a personal account. Put the privilege header on privileged emails. Put "CONFIDENTIAL" in the subject line for confidential emails.</w:t>
      </w:r>
    </w:p>
    <w:p>
      <w:pPr>
        <w:pStyle w:val="ListNumber"/>
      </w:pPr>
      <w:r>
        <w:rPr>
          <w:rFonts w:ascii="Times New Roman" w:hAnsi="Times New Roman"/>
          <w:sz w:val="24"/>
        </w:rPr>
        <w:t>**Chat and collaboration platforms.** Don't send privileged legal advice over chat (Teams, Slack) unless Legal and IT have approved the platform for it and the platform keeps messages per our retention policy. Keep confidential info in access-restricted channels.</w:t>
      </w:r>
    </w:p>
    <w:p>
      <w:pPr>
        <w:pStyle w:val="ListNumber"/>
      </w:pPr>
      <w:r>
        <w:rPr>
          <w:rFonts w:ascii="Times New Roman" w:hAnsi="Times New Roman"/>
          <w:sz w:val="24"/>
        </w:rPr>
        <w:t>**Video conferencing.** Check who's on the call. Use password-protected meetings. Don't record unless Legal has approved recording for that meeting. Make sure no one in the room can overhear who shouldn't.</w:t>
      </w:r>
    </w:p>
    <w:p>
      <w:pPr>
        <w:pStyle w:val="ListNumber"/>
      </w:pPr>
      <w:r>
        <w:rPr>
          <w:rFonts w:ascii="Times New Roman" w:hAnsi="Times New Roman"/>
          <w:sz w:val="24"/>
        </w:rPr>
        <w:t>**Cloud storage and file sharing.** Store privileged and confidential documents only in approved systems (SharePoint, ShareFile). Never use personal Dropbox, Google Drive, or unapproved file-sharing services. Set shared links to expire and to require Company login.</w:t>
      </w:r>
    </w:p>
    <w:p>
      <w:pPr>
        <w:pStyle w:val="ListNumber"/>
      </w:pPr>
      <w:r>
        <w:rPr>
          <w:rFonts w:ascii="Times New Roman" w:hAnsi="Times New Roman"/>
          <w:sz w:val="24"/>
        </w:rPr>
        <w:t>**Mobile devices.** Follow the Company's mobile device management (MDM) policy: encryption, passcode, and remote wipe.</w:t>
      </w:r>
    </w:p>
    <w:p>
      <w:pPr>
        <w:spacing w:before="360" w:after="200"/>
      </w:pPr>
      <w:r>
        <w:rPr>
          <w:rFonts w:ascii="Times New Roman" w:hAnsi="Times New Roman"/>
          <w:b/>
          <w:sz w:val="24"/>
          <w:u w:val="single"/>
        </w:rPr>
        <w:t>E. Document Storage and Retention</w:t>
      </w:r>
    </w:p>
    <w:p>
      <w:pPr>
        <w:spacing w:after="120"/>
      </w:pPr>
      <w:r>
        <w:rPr>
          <w:rFonts w:ascii="Times New Roman" w:hAnsi="Times New Roman"/>
          <w:sz w:val="24"/>
        </w:rPr>
        <w:t>Legal documents live in SharePoint or ShareFile (per the schedule below). Never store them on your laptop, personal device, or an unapproved platform. Only people with a business need get access, and Legal reviews access permissions quarterly.</w:t>
      </w:r>
    </w:p>
    <w:p>
      <w:pPr>
        <w:spacing w:after="120"/>
      </w:pPr>
      <w:r>
        <w:rPr>
          <w:rFonts w:ascii="Times New Roman" w:hAnsi="Times New Roman"/>
          <w:sz w:val="24"/>
        </w:rPr>
        <w:t>Retention schedule:</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fill="D9E2F3" w:val="clear"/>
          </w:tcPr>
          <w:p>
            <w:pPr>
              <w:jc w:val="center"/>
            </w:pPr>
            <w:r/>
            <w:r>
              <w:rPr>
                <w:rFonts w:ascii="Times New Roman" w:hAnsi="Times New Roman"/>
                <w:b/>
                <w:sz w:val="20"/>
              </w:rPr>
              <w:t>Document Type</w:t>
            </w:r>
          </w:p>
        </w:tc>
        <w:tc>
          <w:tcPr>
            <w:tcW w:type="dxa" w:w="3168"/>
            <w:shd w:fill="D9E2F3" w:val="clear"/>
          </w:tcPr>
          <w:p>
            <w:pPr>
              <w:jc w:val="center"/>
            </w:pPr>
            <w:r/>
            <w:r>
              <w:rPr>
                <w:rFonts w:ascii="Times New Roman" w:hAnsi="Times New Roman"/>
                <w:b/>
                <w:sz w:val="20"/>
              </w:rPr>
              <w:t>How Long to Keep</w:t>
            </w:r>
          </w:p>
        </w:tc>
        <w:tc>
          <w:tcPr>
            <w:tcW w:type="dxa" w:w="3024"/>
            <w:shd w:fill="D9E2F3" w:val="clear"/>
          </w:tcPr>
          <w:p>
            <w:pPr>
              <w:jc w:val="center"/>
            </w:pPr>
            <w:r/>
            <w:r>
              <w:rPr>
                <w:rFonts w:ascii="Times New Roman" w:hAnsi="Times New Roman"/>
                <w:b/>
                <w:sz w:val="20"/>
              </w:rPr>
              <w:t>Where to Store</w:t>
            </w:r>
          </w:p>
        </w:tc>
      </w:tr>
      <w:tr>
        <w:tc>
          <w:tcPr>
            <w:tcW w:type="dxa" w:w="3168"/>
          </w:tcPr>
          <w:p>
            <w:r/>
            <w:r>
              <w:rPr>
                <w:rFonts w:ascii="Times New Roman" w:hAnsi="Times New Roman"/>
                <w:sz w:val="20"/>
              </w:rPr>
              <w:t>Executed Leases</w:t>
            </w:r>
          </w:p>
        </w:tc>
        <w:tc>
          <w:tcPr>
            <w:tcW w:type="dxa" w:w="3168"/>
          </w:tcPr>
          <w:p>
            <w:r/>
            <w:r>
              <w:rPr>
                <w:rFonts w:ascii="Times New Roman" w:hAnsi="Times New Roman"/>
                <w:sz w:val="20"/>
              </w:rPr>
              <w:t>Life of lease + 7 years</w:t>
            </w:r>
          </w:p>
        </w:tc>
        <w:tc>
          <w:tcPr>
            <w:tcW w:type="dxa" w:w="3024"/>
          </w:tcPr>
          <w:p>
            <w:r/>
            <w:r>
              <w:rPr>
                <w:rFonts w:ascii="Times New Roman" w:hAnsi="Times New Roman"/>
                <w:sz w:val="20"/>
              </w:rPr>
              <w:t>ShareFile</w:t>
            </w:r>
          </w:p>
        </w:tc>
      </w:tr>
      <w:tr>
        <w:tc>
          <w:tcPr>
            <w:tcW w:type="dxa" w:w="3168"/>
          </w:tcPr>
          <w:p>
            <w:r/>
            <w:r>
              <w:rPr>
                <w:rFonts w:ascii="Times New Roman" w:hAnsi="Times New Roman"/>
                <w:sz w:val="20"/>
              </w:rPr>
              <w:t>Lease Drafts and Negotiations</w:t>
            </w:r>
          </w:p>
        </w:tc>
        <w:tc>
          <w:tcPr>
            <w:tcW w:type="dxa" w:w="3168"/>
          </w:tcPr>
          <w:p>
            <w:r/>
            <w:r>
              <w:rPr>
                <w:rFonts w:ascii="Times New Roman" w:hAnsi="Times New Roman"/>
                <w:sz w:val="20"/>
              </w:rPr>
              <w:t>Life of lease + 3 years</w:t>
            </w:r>
          </w:p>
        </w:tc>
        <w:tc>
          <w:tcPr>
            <w:tcW w:type="dxa" w:w="3024"/>
          </w:tcPr>
          <w:p>
            <w:r/>
            <w:r>
              <w:rPr>
                <w:rFonts w:ascii="Times New Roman" w:hAnsi="Times New Roman"/>
                <w:sz w:val="20"/>
              </w:rPr>
              <w:t>SharePoint</w:t>
            </w:r>
          </w:p>
        </w:tc>
      </w:tr>
      <w:tr>
        <w:tc>
          <w:tcPr>
            <w:tcW w:type="dxa" w:w="3168"/>
          </w:tcPr>
          <w:p>
            <w:r/>
            <w:r>
              <w:rPr>
                <w:rFonts w:ascii="Times New Roman" w:hAnsi="Times New Roman"/>
                <w:sz w:val="20"/>
              </w:rPr>
              <w:t>Litigation Files</w:t>
            </w:r>
          </w:p>
        </w:tc>
        <w:tc>
          <w:tcPr>
            <w:tcW w:type="dxa" w:w="3168"/>
          </w:tcPr>
          <w:p>
            <w:r/>
            <w:r>
              <w:rPr>
                <w:rFonts w:ascii="Times New Roman" w:hAnsi="Times New Roman"/>
                <w:sz w:val="20"/>
              </w:rPr>
              <w:t>Resolution + 7 years</w:t>
            </w:r>
          </w:p>
        </w:tc>
        <w:tc>
          <w:tcPr>
            <w:tcW w:type="dxa" w:w="3024"/>
          </w:tcPr>
          <w:p>
            <w:r/>
            <w:r>
              <w:rPr>
                <w:rFonts w:ascii="Times New Roman" w:hAnsi="Times New Roman"/>
                <w:sz w:val="20"/>
              </w:rPr>
              <w:t>SharePoint / Outside Counsel</w:t>
            </w:r>
          </w:p>
        </w:tc>
      </w:tr>
      <w:tr>
        <w:tc>
          <w:tcPr>
            <w:tcW w:type="dxa" w:w="3168"/>
          </w:tcPr>
          <w:p>
            <w:r/>
            <w:r>
              <w:rPr>
                <w:rFonts w:ascii="Times New Roman" w:hAnsi="Times New Roman"/>
                <w:sz w:val="20"/>
              </w:rPr>
              <w:t>Corporate Governance Records</w:t>
            </w:r>
          </w:p>
        </w:tc>
        <w:tc>
          <w:tcPr>
            <w:tcW w:type="dxa" w:w="3168"/>
          </w:tcPr>
          <w:p>
            <w:r/>
            <w:r>
              <w:rPr>
                <w:rFonts w:ascii="Times New Roman" w:hAnsi="Times New Roman"/>
                <w:sz w:val="20"/>
              </w:rPr>
              <w:t>Permanent</w:t>
            </w:r>
          </w:p>
        </w:tc>
        <w:tc>
          <w:tcPr>
            <w:tcW w:type="dxa" w:w="3024"/>
          </w:tcPr>
          <w:p>
            <w:r/>
            <w:r>
              <w:rPr>
                <w:rFonts w:ascii="Times New Roman" w:hAnsi="Times New Roman"/>
                <w:sz w:val="20"/>
              </w:rPr>
              <w:t>SharePoint / Entity Mgmt System</w:t>
            </w:r>
          </w:p>
        </w:tc>
      </w:tr>
      <w:tr>
        <w:tc>
          <w:tcPr>
            <w:tcW w:type="dxa" w:w="3168"/>
          </w:tcPr>
          <w:p>
            <w:r/>
            <w:r>
              <w:rPr>
                <w:rFonts w:ascii="Times New Roman" w:hAnsi="Times New Roman"/>
                <w:sz w:val="20"/>
              </w:rPr>
              <w:t>REIT Compliance Records</w:t>
            </w:r>
          </w:p>
        </w:tc>
        <w:tc>
          <w:tcPr>
            <w:tcW w:type="dxa" w:w="3168"/>
          </w:tcPr>
          <w:p>
            <w:r/>
            <w:r>
              <w:rPr>
                <w:rFonts w:ascii="Times New Roman" w:hAnsi="Times New Roman"/>
                <w:sz w:val="20"/>
              </w:rPr>
              <w:t>Permanent</w:t>
            </w:r>
          </w:p>
        </w:tc>
        <w:tc>
          <w:tcPr>
            <w:tcW w:type="dxa" w:w="3024"/>
          </w:tcPr>
          <w:p>
            <w:r/>
            <w:r>
              <w:rPr>
                <w:rFonts w:ascii="Times New Roman" w:hAnsi="Times New Roman"/>
                <w:sz w:val="20"/>
              </w:rPr>
              <w:t>SharePoint</w:t>
            </w:r>
          </w:p>
        </w:tc>
      </w:tr>
      <w:tr>
        <w:tc>
          <w:tcPr>
            <w:tcW w:type="dxa" w:w="3168"/>
          </w:tcPr>
          <w:p>
            <w:r/>
            <w:r>
              <w:rPr>
                <w:rFonts w:ascii="Times New Roman" w:hAnsi="Times New Roman"/>
                <w:sz w:val="20"/>
              </w:rPr>
              <w:t>SEC Filings and Support</w:t>
            </w:r>
          </w:p>
        </w:tc>
        <w:tc>
          <w:tcPr>
            <w:tcW w:type="dxa" w:w="3168"/>
          </w:tcPr>
          <w:p>
            <w:r/>
            <w:r>
              <w:rPr>
                <w:rFonts w:ascii="Times New Roman" w:hAnsi="Times New Roman"/>
                <w:sz w:val="20"/>
              </w:rPr>
              <w:t>Permanent</w:t>
            </w:r>
          </w:p>
        </w:tc>
        <w:tc>
          <w:tcPr>
            <w:tcW w:type="dxa" w:w="3024"/>
          </w:tcPr>
          <w:p>
            <w:r/>
            <w:r>
              <w:rPr>
                <w:rFonts w:ascii="Times New Roman" w:hAnsi="Times New Roman"/>
                <w:sz w:val="20"/>
              </w:rPr>
              <w:t>SharePoint</w:t>
            </w:r>
          </w:p>
        </w:tc>
      </w:tr>
      <w:tr>
        <w:tc>
          <w:tcPr>
            <w:tcW w:type="dxa" w:w="3168"/>
          </w:tcPr>
          <w:p>
            <w:r/>
            <w:r>
              <w:rPr>
                <w:rFonts w:ascii="Times New Roman" w:hAnsi="Times New Roman"/>
                <w:sz w:val="20"/>
              </w:rPr>
              <w:t>Outside Counsel Invoices</w:t>
            </w:r>
          </w:p>
        </w:tc>
        <w:tc>
          <w:tcPr>
            <w:tcW w:type="dxa" w:w="3168"/>
          </w:tcPr>
          <w:p>
            <w:r/>
            <w:r>
              <w:rPr>
                <w:rFonts w:ascii="Times New Roman" w:hAnsi="Times New Roman"/>
                <w:sz w:val="20"/>
              </w:rPr>
              <w:t>7 years</w:t>
            </w:r>
          </w:p>
        </w:tc>
        <w:tc>
          <w:tcPr>
            <w:tcW w:type="dxa" w:w="3024"/>
          </w:tcPr>
          <w:p>
            <w:r/>
            <w:r>
              <w:rPr>
                <w:rFonts w:ascii="Times New Roman" w:hAnsi="Times New Roman"/>
                <w:sz w:val="20"/>
              </w:rPr>
              <w:t>SharePoint / Finance</w:t>
            </w:r>
          </w:p>
        </w:tc>
      </w:tr>
      <w:tr>
        <w:tc>
          <w:tcPr>
            <w:tcW w:type="dxa" w:w="3168"/>
          </w:tcPr>
          <w:p>
            <w:r/>
            <w:r>
              <w:rPr>
                <w:rFonts w:ascii="Times New Roman" w:hAnsi="Times New Roman"/>
                <w:sz w:val="20"/>
              </w:rPr>
              <w:t>Fair Housing / ADA Complaint Files</w:t>
            </w:r>
          </w:p>
        </w:tc>
        <w:tc>
          <w:tcPr>
            <w:tcW w:type="dxa" w:w="3168"/>
          </w:tcPr>
          <w:p>
            <w:r/>
            <w:r>
              <w:rPr>
                <w:rFonts w:ascii="Times New Roman" w:hAnsi="Times New Roman"/>
                <w:sz w:val="20"/>
              </w:rPr>
              <w:t>Resolution + 7 years</w:t>
            </w:r>
          </w:p>
        </w:tc>
        <w:tc>
          <w:tcPr>
            <w:tcW w:type="dxa" w:w="3024"/>
          </w:tcPr>
          <w:p>
            <w:r/>
            <w:r>
              <w:rPr>
                <w:rFonts w:ascii="Times New Roman" w:hAnsi="Times New Roman"/>
                <w:sz w:val="20"/>
              </w:rPr>
              <w:t>SharePoint (restricted)</w:t>
            </w:r>
          </w:p>
        </w:tc>
      </w:tr>
      <w:tr>
        <w:tc>
          <w:tcPr>
            <w:tcW w:type="dxa" w:w="3168"/>
          </w:tcPr>
          <w:p>
            <w:r/>
            <w:r>
              <w:rPr>
                <w:rFonts w:ascii="Times New Roman" w:hAnsi="Times New Roman"/>
                <w:sz w:val="20"/>
              </w:rPr>
              <w:t>Whistleblower Reports and Investigations</w:t>
            </w:r>
          </w:p>
        </w:tc>
        <w:tc>
          <w:tcPr>
            <w:tcW w:type="dxa" w:w="3168"/>
          </w:tcPr>
          <w:p>
            <w:r/>
            <w:r>
              <w:rPr>
                <w:rFonts w:ascii="Times New Roman" w:hAnsi="Times New Roman"/>
                <w:sz w:val="20"/>
              </w:rPr>
              <w:t>Resolution + 7 years</w:t>
            </w:r>
          </w:p>
        </w:tc>
        <w:tc>
          <w:tcPr>
            <w:tcW w:type="dxa" w:w="3024"/>
          </w:tcPr>
          <w:p>
            <w:r/>
            <w:r>
              <w:rPr>
                <w:rFonts w:ascii="Times New Roman" w:hAnsi="Times New Roman"/>
                <w:sz w:val="20"/>
              </w:rPr>
              <w:t>SharePoint (restricted)</w:t>
            </w:r>
          </w:p>
        </w:tc>
      </w:tr>
      <w:tr>
        <w:tc>
          <w:tcPr>
            <w:tcW w:type="dxa" w:w="3168"/>
          </w:tcPr>
          <w:p>
            <w:r/>
            <w:r>
              <w:rPr>
                <w:rFonts w:ascii="Times New Roman" w:hAnsi="Times New Roman"/>
                <w:sz w:val="20"/>
              </w:rPr>
              <w:t>General Correspondence</w:t>
            </w:r>
          </w:p>
        </w:tc>
        <w:tc>
          <w:tcPr>
            <w:tcW w:type="dxa" w:w="3168"/>
          </w:tcPr>
          <w:p>
            <w:r/>
            <w:r>
              <w:rPr>
                <w:rFonts w:ascii="Times New Roman" w:hAnsi="Times New Roman"/>
                <w:sz w:val="20"/>
              </w:rPr>
              <w:t>3 years</w:t>
            </w:r>
          </w:p>
        </w:tc>
        <w:tc>
          <w:tcPr>
            <w:tcW w:type="dxa" w:w="3024"/>
          </w:tcPr>
          <w:p>
            <w:r/>
            <w:r>
              <w:rPr>
                <w:rFonts w:ascii="Times New Roman" w:hAnsi="Times New Roman"/>
                <w:sz w:val="20"/>
              </w:rPr>
              <w:t>SharePoint</w:t>
            </w:r>
          </w:p>
        </w:tc>
      </w:tr>
      <w:tr>
        <w:tc>
          <w:tcPr>
            <w:tcW w:type="dxa" w:w="3168"/>
          </w:tcPr>
          <w:p>
            <w:r/>
            <w:r>
              <w:rPr>
                <w:rFonts w:ascii="Times New Roman" w:hAnsi="Times New Roman"/>
                <w:sz w:val="20"/>
              </w:rPr>
              <w:t>Regulatory Filings</w:t>
            </w:r>
          </w:p>
        </w:tc>
        <w:tc>
          <w:tcPr>
            <w:tcW w:type="dxa" w:w="3168"/>
          </w:tcPr>
          <w:p>
            <w:r/>
            <w:r>
              <w:rPr>
                <w:rFonts w:ascii="Times New Roman" w:hAnsi="Times New Roman"/>
                <w:sz w:val="20"/>
              </w:rPr>
              <w:t>Permanent</w:t>
            </w:r>
          </w:p>
        </w:tc>
        <w:tc>
          <w:tcPr>
            <w:tcW w:type="dxa" w:w="3024"/>
          </w:tcPr>
          <w:p>
            <w:r/>
            <w:r>
              <w:rPr>
                <w:rFonts w:ascii="Times New Roman" w:hAnsi="Times New Roman"/>
                <w:sz w:val="20"/>
              </w:rPr>
              <w:t>SharePoint</w:t>
            </w:r>
          </w:p>
        </w:tc>
      </w:tr>
      <w:tr>
        <w:tc>
          <w:tcPr>
            <w:tcW w:type="dxa" w:w="3168"/>
          </w:tcPr>
          <w:p>
            <w:r/>
            <w:r>
              <w:rPr>
                <w:rFonts w:ascii="Times New Roman" w:hAnsi="Times New Roman"/>
                <w:sz w:val="20"/>
              </w:rPr>
              <w:t>Entity Formation and Qualification Documents</w:t>
            </w:r>
          </w:p>
        </w:tc>
        <w:tc>
          <w:tcPr>
            <w:tcW w:type="dxa" w:w="3168"/>
          </w:tcPr>
          <w:p>
            <w:r/>
            <w:r>
              <w:rPr>
                <w:rFonts w:ascii="Times New Roman" w:hAnsi="Times New Roman"/>
                <w:sz w:val="20"/>
              </w:rPr>
              <w:t>Life of entity + 7 years</w:t>
            </w:r>
          </w:p>
        </w:tc>
        <w:tc>
          <w:tcPr>
            <w:tcW w:type="dxa" w:w="3024"/>
          </w:tcPr>
          <w:p>
            <w:r/>
            <w:r>
              <w:rPr>
                <w:rFonts w:ascii="Times New Roman" w:hAnsi="Times New Roman"/>
                <w:sz w:val="20"/>
              </w:rPr>
              <w:t>Entity Mgmt System / SharePoint</w:t>
            </w:r>
          </w:p>
        </w:tc>
      </w:tr>
    </w:tbl>
    <w:p/>
    <w:p>
      <w:pPr>
        <w:spacing w:before="360" w:after="200"/>
      </w:pPr>
      <w:r>
        <w:rPr>
          <w:rFonts w:ascii="Times New Roman" w:hAnsi="Times New Roman"/>
          <w:b/>
          <w:sz w:val="24"/>
          <w:u w:val="single"/>
        </w:rPr>
        <w:t>F. Fair Housing, ADA, and Anti-Discrimination</w:t>
      </w:r>
    </w:p>
    <w:p>
      <w:pPr>
        <w:spacing w:after="120"/>
      </w:pPr>
      <w:r>
        <w:rPr>
          <w:rFonts w:ascii="Times New Roman" w:hAnsi="Times New Roman"/>
          <w:sz w:val="24"/>
        </w:rPr>
        <w:t>The Company's properties and operations have to follow federal, state, and local fair housing, accessibility, and anti-discrimination laws. That includes the Fair Housing Act (42 U.S.C. §§ 3601–3619), the ADA (42 U.S.C. §§ 12101 et seq.), Section 504 of the Rehabilitation Act, and state and local human rights laws. Legal's role:</w:t>
      </w:r>
    </w:p>
    <w:p>
      <w:pPr>
        <w:pStyle w:val="ListBullet"/>
      </w:pPr>
      <w:r>
        <w:rPr>
          <w:rFonts w:ascii="Times New Roman" w:hAnsi="Times New Roman"/>
          <w:sz w:val="24"/>
        </w:rPr>
        <w:t>Advise Property Management and Asset Management on fair housing and ADA rules, including how to handle reasonable accommodation and reasonable modification requests.</w:t>
      </w:r>
    </w:p>
    <w:p>
      <w:pPr>
        <w:pStyle w:val="ListBullet"/>
      </w:pPr>
      <w:r>
        <w:rPr>
          <w:rFonts w:ascii="Times New Roman" w:hAnsi="Times New Roman"/>
          <w:sz w:val="24"/>
        </w:rPr>
        <w:t>Review and approve fair housing policies, marketing materials, and tenant selection criteria.</w:t>
      </w:r>
    </w:p>
    <w:p>
      <w:pPr>
        <w:pStyle w:val="ListBullet"/>
      </w:pPr>
      <w:r>
        <w:rPr>
          <w:rFonts w:ascii="Times New Roman" w:hAnsi="Times New Roman"/>
          <w:sz w:val="24"/>
        </w:rPr>
        <w:t>Coordinate the Company's response to fair housing complaints, HUD complaints, and state or local human rights commission inquiries.</w:t>
      </w:r>
    </w:p>
    <w:p>
      <w:pPr>
        <w:pStyle w:val="ListBullet"/>
      </w:pPr>
      <w:r>
        <w:rPr>
          <w:rFonts w:ascii="Times New Roman" w:hAnsi="Times New Roman"/>
          <w:sz w:val="24"/>
        </w:rPr>
        <w:t>Keep a log (classified CONFIDENTIAL) of fair housing and ADA complaints, accommodation requests, and investigations.</w:t>
      </w:r>
    </w:p>
    <w:p>
      <w:pPr>
        <w:pStyle w:val="ListBullet"/>
      </w:pPr>
      <w:r>
        <w:rPr>
          <w:rFonts w:ascii="Times New Roman" w:hAnsi="Times New Roman"/>
          <w:sz w:val="24"/>
        </w:rPr>
        <w:t>Support the Company's ADA program, including working with architects, engineers, and accessibility consultants on ADA surveys, barrier removal, and accessibility in new construction or renovations.</w:t>
      </w:r>
    </w:p>
    <w:p>
      <w:pPr>
        <w:pStyle w:val="ListBullet"/>
      </w:pPr>
      <w:r>
        <w:rPr>
          <w:rFonts w:ascii="Times New Roman" w:hAnsi="Times New Roman"/>
          <w:sz w:val="24"/>
        </w:rPr>
        <w:t>Store all fair housing and ADA records per Section 8.E in access-restricted SharePoint folders.</w:t>
      </w:r>
    </w:p>
    <w:p>
      <w:pPr>
        <w:pStyle w:val="ListBullet"/>
      </w:pPr>
      <w:r>
        <w:rPr>
          <w:rFonts w:ascii="Times New Roman" w:hAnsi="Times New Roman"/>
          <w:sz w:val="24"/>
        </w:rPr>
        <w:t>Cover fair housing and anti-discrimination topics in the annual training program (Section 10).</w:t>
      </w:r>
    </w:p>
    <w:p>
      <w:pPr>
        <w:spacing w:before="360" w:after="200"/>
      </w:pPr>
      <w:r>
        <w:rPr>
          <w:rFonts w:ascii="Times New Roman" w:hAnsi="Times New Roman"/>
          <w:b/>
          <w:sz w:val="24"/>
          <w:u w:val="single"/>
        </w:rPr>
        <w:t>G. Litigation Holds</w:t>
      </w:r>
    </w:p>
    <w:p>
      <w:pPr>
        <w:spacing w:after="120"/>
      </w:pPr>
      <w:r>
        <w:rPr>
          <w:rFonts w:ascii="Times New Roman" w:hAnsi="Times New Roman"/>
          <w:sz w:val="24"/>
        </w:rPr>
        <w:t>As soon as a matter could lead to litigation, arbitration, a regulatory investigation, or a government inquiry, Legal puts a litigation hold in place. A hold means preserving all potentially relevant documents and communications. If we don't preserve them, we can face sanctions or adverse inferences.</w:t>
      </w:r>
    </w:p>
    <w:p>
      <w:pPr>
        <w:spacing w:after="120"/>
      </w:pPr>
      <w:r>
        <w:rPr>
          <w:rFonts w:ascii="Times New Roman" w:hAnsi="Times New Roman"/>
          <w:sz w:val="24"/>
        </w:rPr>
        <w:t>Litigation hold steps:</w:t>
      </w:r>
    </w:p>
    <w:p>
      <w:pPr>
        <w:pStyle w:val="ListNumber"/>
      </w:pPr>
      <w:r>
        <w:rPr>
          <w:rFonts w:ascii="Times New Roman" w:hAnsi="Times New Roman"/>
          <w:sz w:val="24"/>
        </w:rPr>
        <w:t>Legal sends a written hold notice to every relevant custodian. It names the matter, lists the document categories to preserve, and tells them to stop any routine deletion or destruction of those documents.</w:t>
      </w:r>
    </w:p>
    <w:p>
      <w:pPr>
        <w:pStyle w:val="ListNumber"/>
      </w:pPr>
      <w:r>
        <w:rPr>
          <w:rFonts w:ascii="Times New Roman" w:hAnsi="Times New Roman"/>
          <w:sz w:val="24"/>
        </w:rPr>
        <w:t>Each custodian acknowledges the hold in writing (email is fine) within 3 business days. Legal follows up with anyone who hasn't acknowledged.</w:t>
      </w:r>
    </w:p>
    <w:p>
      <w:pPr>
        <w:pStyle w:val="ListNumber"/>
      </w:pPr>
      <w:r>
        <w:rPr>
          <w:rFonts w:ascii="Times New Roman" w:hAnsi="Times New Roman"/>
          <w:sz w:val="24"/>
        </w:rPr>
        <w:t>Legal works with IT to stop any automatic deletion, archiving, or overwriting of documents, emails, chat messages, and other electronically stored info covered by the hold.</w:t>
      </w:r>
    </w:p>
    <w:p>
      <w:pPr>
        <w:pStyle w:val="ListNumber"/>
      </w:pPr>
      <w:r>
        <w:rPr>
          <w:rFonts w:ascii="Times New Roman" w:hAnsi="Times New Roman"/>
          <w:sz w:val="24"/>
        </w:rPr>
        <w:t>Legal sends hold reminders at least every 90 days while the hold is active.</w:t>
      </w:r>
    </w:p>
    <w:p>
      <w:pPr>
        <w:pStyle w:val="ListNumber"/>
      </w:pPr>
      <w:r>
        <w:rPr>
          <w:rFonts w:ascii="Times New Roman" w:hAnsi="Times New Roman"/>
          <w:sz w:val="24"/>
        </w:rPr>
        <w:t>When the matter ends, Legal sends a written release. Custodians hear that the hold is lifted and regular retention schedules can resume.</w:t>
      </w:r>
    </w:p>
    <w:p>
      <w:pPr>
        <w:pStyle w:val="ListNumber"/>
      </w:pPr>
      <w:r>
        <w:rPr>
          <w:rFonts w:ascii="Times New Roman" w:hAnsi="Times New Roman"/>
          <w:sz w:val="24"/>
        </w:rPr>
        <w:t>Legal keeps a litigation hold log: issuance date, custodians notified, acknowledgments, and release date.</w:t>
      </w:r>
    </w:p>
    <w:p>
      <w:pPr>
        <w:spacing w:before="360" w:after="200"/>
      </w:pPr>
      <w:r>
        <w:rPr>
          <w:rFonts w:ascii="Times New Roman" w:hAnsi="Times New Roman"/>
          <w:b/>
          <w:sz w:val="24"/>
          <w:u w:val="single"/>
        </w:rPr>
        <w:t>H. Talking to Outsiders</w:t>
      </w:r>
    </w:p>
    <w:p>
      <w:pPr>
        <w:spacing w:after="120"/>
      </w:pPr>
      <w:r>
        <w:rPr>
          <w:rFonts w:ascii="Times New Roman" w:hAnsi="Times New Roman"/>
          <w:sz w:val="24"/>
        </w:rPr>
        <w:t>Only people authorized by the GC can speak for the Company to:</w:t>
      </w:r>
    </w:p>
    <w:p>
      <w:pPr>
        <w:pStyle w:val="ListBullet"/>
      </w:pPr>
      <w:r>
        <w:rPr>
          <w:rFonts w:ascii="Times New Roman" w:hAnsi="Times New Roman"/>
          <w:sz w:val="24"/>
        </w:rPr>
        <w:t>Outside counsel.</w:t>
      </w:r>
    </w:p>
    <w:p>
      <w:pPr>
        <w:pStyle w:val="ListBullet"/>
      </w:pPr>
      <w:r>
        <w:rPr>
          <w:rFonts w:ascii="Times New Roman" w:hAnsi="Times New Roman"/>
          <w:sz w:val="24"/>
        </w:rPr>
        <w:t>Opposing counsel or opposing parties.</w:t>
      </w:r>
    </w:p>
    <w:p>
      <w:pPr>
        <w:pStyle w:val="ListBullet"/>
      </w:pPr>
      <w:r>
        <w:rPr>
          <w:rFonts w:ascii="Times New Roman" w:hAnsi="Times New Roman"/>
          <w:sz w:val="24"/>
        </w:rPr>
        <w:t>Regulators, government agencies, and law enforcement.</w:t>
      </w:r>
    </w:p>
    <w:p>
      <w:pPr>
        <w:pStyle w:val="ListBullet"/>
      </w:pPr>
      <w:r>
        <w:rPr>
          <w:rFonts w:ascii="Times New Roman" w:hAnsi="Times New Roman"/>
          <w:sz w:val="24"/>
        </w:rPr>
        <w:t>Fair housing agencies, human rights commissions, and HUD.</w:t>
      </w:r>
    </w:p>
    <w:p>
      <w:pPr>
        <w:pStyle w:val="ListBullet"/>
      </w:pPr>
      <w:r>
        <w:rPr>
          <w:rFonts w:ascii="Times New Roman" w:hAnsi="Times New Roman"/>
          <w:sz w:val="24"/>
        </w:rPr>
        <w:t>The SEC, state securities regulators, and stock exchange representatives.</w:t>
      </w:r>
    </w:p>
    <w:p>
      <w:pPr>
        <w:spacing w:after="120"/>
      </w:pPr>
      <w:r>
        <w:rPr>
          <w:rFonts w:ascii="Times New Roman" w:hAnsi="Times New Roman"/>
          <w:sz w:val="24"/>
        </w:rPr>
        <w:t>Route all external legal communications through Legal. Never answer a subpoena, civil investigative demand, regulatory inquiry, or government information request without checking with Legal first. Legal keeps a log of material external legal communications.</w:t>
      </w:r>
    </w:p>
    <w:p>
      <w:r>
        <w:br w:type="page"/>
      </w:r>
    </w:p>
    <w:p>
      <w:pPr>
        <w:spacing w:before="480" w:after="240"/>
      </w:pPr>
      <w:r>
        <w:rPr>
          <w:rFonts w:ascii="Times New Roman" w:hAnsi="Times New Roman"/>
          <w:b/>
          <w:sz w:val="24"/>
        </w:rPr>
        <w:t>9. COMMUNICATION AND ESCALATION</w:t>
      </w:r>
    </w:p>
    <w:p>
      <w:pPr>
        <w:spacing w:after="120"/>
      </w:pPr>
      <w:r>
        <w:rPr>
          <w:rFonts w:ascii="Times New Roman" w:hAnsi="Times New Roman"/>
          <w:sz w:val="24"/>
        </w:rPr>
        <w:t>Clear communication and fast escalation keep legal risk manageable. This section says when and how to escalate to Legal and executive leadership.</w:t>
      </w:r>
    </w:p>
    <w:p>
      <w:pPr>
        <w:spacing w:before="360" w:after="200"/>
      </w:pPr>
      <w:r>
        <w:rPr>
          <w:rFonts w:ascii="Times New Roman" w:hAnsi="Times New Roman"/>
          <w:b/>
          <w:sz w:val="24"/>
          <w:u w:val="single"/>
        </w:rPr>
        <w:t>A. Regular Meetings</w:t>
      </w:r>
    </w:p>
    <w:p>
      <w:pPr>
        <w:spacing w:after="120"/>
      </w:pPr>
      <w:r>
        <w:rPr>
          <w:rFonts w:ascii="Times New Roman" w:hAnsi="Times New Roman"/>
          <w:sz w:val="24"/>
        </w:rPr>
        <w:t>Legal works with:</w:t>
      </w:r>
    </w:p>
    <w:p>
      <w:pPr>
        <w:pStyle w:val="ListBullet"/>
      </w:pPr>
      <w:r>
        <w:rPr>
          <w:rFonts w:ascii="Times New Roman" w:hAnsi="Times New Roman"/>
          <w:sz w:val="24"/>
        </w:rPr>
        <w:t>Asset Management (leasing and tenants).</w:t>
      </w:r>
    </w:p>
    <w:p>
      <w:pPr>
        <w:pStyle w:val="ListBullet"/>
      </w:pPr>
      <w:r>
        <w:rPr>
          <w:rFonts w:ascii="Times New Roman" w:hAnsi="Times New Roman"/>
          <w:sz w:val="24"/>
        </w:rPr>
        <w:t>Property Management (operations and incidents).</w:t>
      </w:r>
    </w:p>
    <w:p>
      <w:pPr>
        <w:pStyle w:val="ListBullet"/>
      </w:pPr>
      <w:r>
        <w:rPr>
          <w:rFonts w:ascii="Times New Roman" w:hAnsi="Times New Roman"/>
          <w:sz w:val="24"/>
        </w:rPr>
        <w:t>Finance (reserves, deals, governance).</w:t>
      </w:r>
    </w:p>
    <w:p>
      <w:pPr>
        <w:spacing w:after="120"/>
      </w:pPr>
      <w:r>
        <w:rPr>
          <w:rFonts w:ascii="Times New Roman" w:hAnsi="Times New Roman"/>
          <w:sz w:val="24"/>
        </w:rPr>
        <w:t>Standing meetings: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D9E2F3" w:val="clear"/>
          </w:tcPr>
          <w:p>
            <w:pPr>
              <w:jc w:val="center"/>
            </w:pPr>
            <w:r/>
            <w:r>
              <w:rPr>
                <w:rFonts w:ascii="Times New Roman" w:hAnsi="Times New Roman"/>
                <w:b/>
                <w:sz w:val="20"/>
              </w:rPr>
              <w:t>Meeting</w:t>
            </w:r>
          </w:p>
        </w:tc>
        <w:tc>
          <w:tcPr>
            <w:tcW w:type="dxa" w:w="2160"/>
            <w:shd w:fill="D9E2F3" w:val="clear"/>
          </w:tcPr>
          <w:p>
            <w:pPr>
              <w:jc w:val="center"/>
            </w:pPr>
            <w:r/>
            <w:r>
              <w:rPr>
                <w:rFonts w:ascii="Times New Roman" w:hAnsi="Times New Roman"/>
                <w:b/>
                <w:sz w:val="20"/>
              </w:rPr>
              <w:t>Participants</w:t>
            </w:r>
          </w:p>
        </w:tc>
        <w:tc>
          <w:tcPr>
            <w:tcW w:type="dxa" w:w="1728"/>
            <w:shd w:fill="D9E2F3" w:val="clear"/>
          </w:tcPr>
          <w:p>
            <w:pPr>
              <w:jc w:val="center"/>
            </w:pPr>
            <w:r/>
            <w:r>
              <w:rPr>
                <w:rFonts w:ascii="Times New Roman" w:hAnsi="Times New Roman"/>
                <w:b/>
                <w:sz w:val="20"/>
              </w:rPr>
              <w:t>How Often</w:t>
            </w:r>
          </w:p>
        </w:tc>
        <w:tc>
          <w:tcPr>
            <w:tcW w:type="dxa" w:w="3312"/>
            <w:shd w:fill="D9E2F3" w:val="clear"/>
          </w:tcPr>
          <w:p>
            <w:pPr>
              <w:jc w:val="center"/>
            </w:pPr>
            <w:r/>
            <w:r>
              <w:rPr>
                <w:rFonts w:ascii="Times New Roman" w:hAnsi="Times New Roman"/>
                <w:b/>
                <w:sz w:val="20"/>
              </w:rPr>
              <w:t>Purpose</w:t>
            </w:r>
          </w:p>
        </w:tc>
      </w:tr>
      <w:tr>
        <w:tc>
          <w:tcPr>
            <w:tcW w:type="dxa" w:w="2160"/>
          </w:tcPr>
          <w:p>
            <w:r/>
            <w:r>
              <w:rPr>
                <w:rFonts w:ascii="Times New Roman" w:hAnsi="Times New Roman"/>
                <w:sz w:val="20"/>
              </w:rPr>
              <w:t>Leasing Pipeline Review</w:t>
            </w:r>
          </w:p>
        </w:tc>
        <w:tc>
          <w:tcPr>
            <w:tcW w:type="dxa" w:w="2160"/>
          </w:tcPr>
          <w:p>
            <w:r/>
            <w:r>
              <w:rPr>
                <w:rFonts w:ascii="Times New Roman" w:hAnsi="Times New Roman"/>
                <w:sz w:val="20"/>
              </w:rPr>
              <w:t>Legal + Asset Mgmt</w:t>
            </w:r>
          </w:p>
        </w:tc>
        <w:tc>
          <w:tcPr>
            <w:tcW w:type="dxa" w:w="1728"/>
          </w:tcPr>
          <w:p>
            <w:r/>
            <w:r>
              <w:rPr>
                <w:rFonts w:ascii="Times New Roman" w:hAnsi="Times New Roman"/>
                <w:sz w:val="20"/>
              </w:rPr>
              <w:t>Weekly</w:t>
            </w:r>
          </w:p>
        </w:tc>
        <w:tc>
          <w:tcPr>
            <w:tcW w:type="dxa" w:w="3312"/>
          </w:tcPr>
          <w:p>
            <w:r/>
            <w:r>
              <w:rPr>
                <w:rFonts w:ascii="Times New Roman" w:hAnsi="Times New Roman"/>
                <w:sz w:val="20"/>
              </w:rPr>
              <w:t>Pending lease requests and priorities</w:t>
            </w:r>
          </w:p>
        </w:tc>
      </w:tr>
      <w:tr>
        <w:tc>
          <w:tcPr>
            <w:tcW w:type="dxa" w:w="2160"/>
          </w:tcPr>
          <w:p>
            <w:r/>
            <w:r>
              <w:rPr>
                <w:rFonts w:ascii="Times New Roman" w:hAnsi="Times New Roman"/>
                <w:sz w:val="20"/>
              </w:rPr>
              <w:t>Litigation/Risk Update</w:t>
            </w:r>
          </w:p>
        </w:tc>
        <w:tc>
          <w:tcPr>
            <w:tcW w:type="dxa" w:w="2160"/>
          </w:tcPr>
          <w:p>
            <w:r/>
            <w:r>
              <w:rPr>
                <w:rFonts w:ascii="Times New Roman" w:hAnsi="Times New Roman"/>
                <w:sz w:val="20"/>
              </w:rPr>
              <w:t>Legal + Executive Leadership</w:t>
            </w:r>
          </w:p>
        </w:tc>
        <w:tc>
          <w:tcPr>
            <w:tcW w:type="dxa" w:w="1728"/>
          </w:tcPr>
          <w:p>
            <w:r/>
            <w:r>
              <w:rPr>
                <w:rFonts w:ascii="Times New Roman" w:hAnsi="Times New Roman"/>
                <w:sz w:val="20"/>
              </w:rPr>
              <w:t>Bi-weekly</w:t>
            </w:r>
          </w:p>
        </w:tc>
        <w:tc>
          <w:tcPr>
            <w:tcW w:type="dxa" w:w="3312"/>
          </w:tcPr>
          <w:p>
            <w:r/>
            <w:r>
              <w:rPr>
                <w:rFonts w:ascii="Times New Roman" w:hAnsi="Times New Roman"/>
                <w:sz w:val="20"/>
              </w:rPr>
              <w:t>Active matters, exposure, strategic calls</w:t>
            </w:r>
          </w:p>
        </w:tc>
      </w:tr>
      <w:tr>
        <w:tc>
          <w:tcPr>
            <w:tcW w:type="dxa" w:w="2160"/>
          </w:tcPr>
          <w:p>
            <w:r/>
            <w:r>
              <w:rPr>
                <w:rFonts w:ascii="Times New Roman" w:hAnsi="Times New Roman"/>
                <w:sz w:val="20"/>
              </w:rPr>
              <w:t>Finance Coordination</w:t>
            </w:r>
          </w:p>
        </w:tc>
        <w:tc>
          <w:tcPr>
            <w:tcW w:type="dxa" w:w="2160"/>
          </w:tcPr>
          <w:p>
            <w:r/>
            <w:r>
              <w:rPr>
                <w:rFonts w:ascii="Times New Roman" w:hAnsi="Times New Roman"/>
                <w:sz w:val="20"/>
              </w:rPr>
              <w:t>Legal + Finance/CFO</w:t>
            </w:r>
          </w:p>
        </w:tc>
        <w:tc>
          <w:tcPr>
            <w:tcW w:type="dxa" w:w="1728"/>
          </w:tcPr>
          <w:p>
            <w:r/>
            <w:r>
              <w:rPr>
                <w:rFonts w:ascii="Times New Roman" w:hAnsi="Times New Roman"/>
                <w:sz w:val="20"/>
              </w:rPr>
              <w:t>Monthly</w:t>
            </w:r>
          </w:p>
        </w:tc>
        <w:tc>
          <w:tcPr>
            <w:tcW w:type="dxa" w:w="3312"/>
          </w:tcPr>
          <w:p>
            <w:r/>
            <w:r>
              <w:rPr>
                <w:rFonts w:ascii="Times New Roman" w:hAnsi="Times New Roman"/>
                <w:sz w:val="20"/>
              </w:rPr>
              <w:t>Reserves, legal spend, governance filings</w:t>
            </w:r>
          </w:p>
        </w:tc>
      </w:tr>
      <w:tr>
        <w:tc>
          <w:tcPr>
            <w:tcW w:type="dxa" w:w="2160"/>
          </w:tcPr>
          <w:p>
            <w:r/>
            <w:r>
              <w:rPr>
                <w:rFonts w:ascii="Times New Roman" w:hAnsi="Times New Roman"/>
                <w:sz w:val="20"/>
              </w:rPr>
              <w:t>Property Ops Sync</w:t>
            </w:r>
          </w:p>
        </w:tc>
        <w:tc>
          <w:tcPr>
            <w:tcW w:type="dxa" w:w="2160"/>
          </w:tcPr>
          <w:p>
            <w:r/>
            <w:r>
              <w:rPr>
                <w:rFonts w:ascii="Times New Roman" w:hAnsi="Times New Roman"/>
                <w:sz w:val="20"/>
              </w:rPr>
              <w:t>Legal + Property Mgmt</w:t>
            </w:r>
          </w:p>
        </w:tc>
        <w:tc>
          <w:tcPr>
            <w:tcW w:type="dxa" w:w="1728"/>
          </w:tcPr>
          <w:p>
            <w:r/>
            <w:r>
              <w:rPr>
                <w:rFonts w:ascii="Times New Roman" w:hAnsi="Times New Roman"/>
                <w:sz w:val="20"/>
              </w:rPr>
              <w:t>As needed</w:t>
            </w:r>
          </w:p>
        </w:tc>
        <w:tc>
          <w:tcPr>
            <w:tcW w:type="dxa" w:w="3312"/>
          </w:tcPr>
          <w:p>
            <w:r/>
            <w:r>
              <w:rPr>
                <w:rFonts w:ascii="Times New Roman" w:hAnsi="Times New Roman"/>
                <w:sz w:val="20"/>
              </w:rPr>
              <w:t>Incidents, claims, vendor disputes</w:t>
            </w:r>
          </w:p>
        </w:tc>
      </w:tr>
    </w:tbl>
    <w:p/>
    <w:p>
      <w:pPr>
        <w:spacing w:before="360" w:after="200"/>
      </w:pPr>
      <w:r>
        <w:rPr>
          <w:rFonts w:ascii="Times New Roman" w:hAnsi="Times New Roman"/>
          <w:b/>
          <w:sz w:val="24"/>
          <w:u w:val="single"/>
        </w:rPr>
        <w:t>B. When to Escalate to Legal</w:t>
      </w:r>
    </w:p>
    <w:p>
      <w:pPr>
        <w:spacing w:after="120"/>
      </w:pPr>
      <w:r>
        <w:rPr>
          <w:rFonts w:ascii="Times New Roman" w:hAnsi="Times New Roman"/>
          <w:sz w:val="24"/>
        </w:rPr>
        <w:t>Escalate to Legal anything that involves:</w:t>
      </w:r>
    </w:p>
    <w:p>
      <w:pPr>
        <w:pStyle w:val="ListBullet"/>
      </w:pPr>
      <w:r>
        <w:rPr>
          <w:rFonts w:ascii="Times New Roman" w:hAnsi="Times New Roman"/>
          <w:sz w:val="24"/>
        </w:rPr>
        <w:t>Possible or actual litigation.</w:t>
      </w:r>
    </w:p>
    <w:p>
      <w:pPr>
        <w:pStyle w:val="ListBullet"/>
      </w:pPr>
      <w:r>
        <w:rPr>
          <w:rFonts w:ascii="Times New Roman" w:hAnsi="Times New Roman"/>
          <w:sz w:val="24"/>
        </w:rPr>
        <w:t>Tenant bankruptcy or insolvency.</w:t>
      </w:r>
    </w:p>
    <w:p>
      <w:pPr>
        <w:pStyle w:val="ListBullet"/>
      </w:pPr>
      <w:r>
        <w:rPr>
          <w:rFonts w:ascii="Times New Roman" w:hAnsi="Times New Roman"/>
          <w:sz w:val="24"/>
        </w:rPr>
        <w:t>Big financial exposure.</w:t>
      </w:r>
    </w:p>
    <w:p>
      <w:pPr>
        <w:pStyle w:val="ListBullet"/>
      </w:pPr>
      <w:r>
        <w:rPr>
          <w:rFonts w:ascii="Times New Roman" w:hAnsi="Times New Roman"/>
          <w:sz w:val="24"/>
        </w:rPr>
        <w:t>Regulatory or government inquiries.</w:t>
      </w:r>
    </w:p>
    <w:p>
      <w:pPr>
        <w:pStyle w:val="ListBullet"/>
      </w:pPr>
      <w:r>
        <w:rPr>
          <w:rFonts w:ascii="Times New Roman" w:hAnsi="Times New Roman"/>
          <w:sz w:val="24"/>
        </w:rPr>
        <w:t>Serious personal injury or property damage.</w:t>
      </w:r>
    </w:p>
    <w:p>
      <w:pPr>
        <w:pStyle w:val="ListBullet"/>
      </w:pPr>
      <w:r>
        <w:rPr>
          <w:rFonts w:ascii="Times New Roman" w:hAnsi="Times New Roman"/>
          <w:sz w:val="24"/>
        </w:rPr>
        <w:t>Disputes affecting Company rights or obligations.</w:t>
      </w:r>
    </w:p>
    <w:p>
      <w:pPr>
        <w:spacing w:before="360" w:after="200"/>
      </w:pPr>
      <w:r>
        <w:rPr>
          <w:rFonts w:ascii="Times New Roman" w:hAnsi="Times New Roman"/>
          <w:b/>
          <w:sz w:val="24"/>
          <w:u w:val="single"/>
        </w:rPr>
        <w:t>C. How Fast to Escalate</w:t>
      </w:r>
    </w:p>
    <w:p>
      <w:pPr>
        <w:spacing w:after="120"/>
      </w:pPr>
      <w:r>
        <w:rPr>
          <w:rFonts w:ascii="Times New Roman" w:hAnsi="Times New Roman"/>
          <w:sz w:val="24"/>
        </w:rPr>
        <w:t>Escalation timelines:</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fill="D9E2F3" w:val="clear"/>
          </w:tcPr>
          <w:p>
            <w:pPr>
              <w:jc w:val="center"/>
            </w:pPr>
            <w:r/>
            <w:r>
              <w:rPr>
                <w:rFonts w:ascii="Times New Roman" w:hAnsi="Times New Roman"/>
                <w:b/>
                <w:sz w:val="20"/>
              </w:rPr>
              <w:t>Event</w:t>
            </w:r>
          </w:p>
        </w:tc>
        <w:tc>
          <w:tcPr>
            <w:tcW w:type="dxa" w:w="3168"/>
            <w:shd w:fill="D9E2F3" w:val="clear"/>
          </w:tcPr>
          <w:p>
            <w:pPr>
              <w:jc w:val="center"/>
            </w:pPr>
            <w:r/>
            <w:r>
              <w:rPr>
                <w:rFonts w:ascii="Times New Roman" w:hAnsi="Times New Roman"/>
                <w:b/>
                <w:sz w:val="20"/>
              </w:rPr>
              <w:t>Timeline</w:t>
            </w:r>
          </w:p>
        </w:tc>
        <w:tc>
          <w:tcPr>
            <w:tcW w:type="dxa" w:w="3024"/>
            <w:shd w:fill="D9E2F3" w:val="clear"/>
          </w:tcPr>
          <w:p>
            <w:pPr>
              <w:jc w:val="center"/>
            </w:pPr>
            <w:r/>
            <w:r>
              <w:rPr>
                <w:rFonts w:ascii="Times New Roman" w:hAnsi="Times New Roman"/>
                <w:b/>
                <w:sz w:val="20"/>
              </w:rPr>
              <w:t>Who to Tell</w:t>
            </w:r>
          </w:p>
        </w:tc>
      </w:tr>
      <w:tr>
        <w:tc>
          <w:tcPr>
            <w:tcW w:type="dxa" w:w="3168"/>
          </w:tcPr>
          <w:p>
            <w:r/>
            <w:r>
              <w:rPr>
                <w:rFonts w:ascii="Times New Roman" w:hAnsi="Times New Roman"/>
                <w:sz w:val="20"/>
              </w:rPr>
              <w:t>Lawsuit or demand letter arrives</w:t>
            </w:r>
          </w:p>
        </w:tc>
        <w:tc>
          <w:tcPr>
            <w:tcW w:type="dxa" w:w="3168"/>
          </w:tcPr>
          <w:p>
            <w:r/>
            <w:r>
              <w:rPr>
                <w:rFonts w:ascii="Times New Roman" w:hAnsi="Times New Roman"/>
                <w:sz w:val="20"/>
              </w:rPr>
              <w:t>Same business day</w:t>
            </w:r>
          </w:p>
        </w:tc>
        <w:tc>
          <w:tcPr>
            <w:tcW w:type="dxa" w:w="3024"/>
          </w:tcPr>
          <w:p>
            <w:r/>
            <w:r>
              <w:rPr>
                <w:rFonts w:ascii="Times New Roman" w:hAnsi="Times New Roman"/>
                <w:sz w:val="20"/>
              </w:rPr>
              <w:t>General Counsel</w:t>
            </w:r>
          </w:p>
        </w:tc>
      </w:tr>
      <w:tr>
        <w:tc>
          <w:tcPr>
            <w:tcW w:type="dxa" w:w="3168"/>
          </w:tcPr>
          <w:p>
            <w:r/>
            <w:r>
              <w:rPr>
                <w:rFonts w:ascii="Times New Roman" w:hAnsi="Times New Roman"/>
                <w:sz w:val="20"/>
              </w:rPr>
              <w:t>Regulatory inquiry or subpoena</w:t>
            </w:r>
          </w:p>
        </w:tc>
        <w:tc>
          <w:tcPr>
            <w:tcW w:type="dxa" w:w="3168"/>
          </w:tcPr>
          <w:p>
            <w:r/>
            <w:r>
              <w:rPr>
                <w:rFonts w:ascii="Times New Roman" w:hAnsi="Times New Roman"/>
                <w:sz w:val="20"/>
              </w:rPr>
              <w:t>Same business day</w:t>
            </w:r>
          </w:p>
        </w:tc>
        <w:tc>
          <w:tcPr>
            <w:tcW w:type="dxa" w:w="3024"/>
          </w:tcPr>
          <w:p>
            <w:r/>
            <w:r>
              <w:rPr>
                <w:rFonts w:ascii="Times New Roman" w:hAnsi="Times New Roman"/>
                <w:sz w:val="20"/>
              </w:rPr>
              <w:t>General Counsel + CEO</w:t>
            </w:r>
          </w:p>
        </w:tc>
      </w:tr>
      <w:tr>
        <w:tc>
          <w:tcPr>
            <w:tcW w:type="dxa" w:w="3168"/>
          </w:tcPr>
          <w:p>
            <w:r/>
            <w:r>
              <w:rPr>
                <w:rFonts w:ascii="Times New Roman" w:hAnsi="Times New Roman"/>
                <w:sz w:val="20"/>
              </w:rPr>
              <w:t>Tenant files bankruptcy</w:t>
            </w:r>
          </w:p>
        </w:tc>
        <w:tc>
          <w:tcPr>
            <w:tcW w:type="dxa" w:w="3168"/>
          </w:tcPr>
          <w:p>
            <w:r/>
            <w:r>
              <w:rPr>
                <w:rFonts w:ascii="Times New Roman" w:hAnsi="Times New Roman"/>
                <w:sz w:val="20"/>
              </w:rPr>
              <w:t>Within 24 hours</w:t>
            </w:r>
          </w:p>
        </w:tc>
        <w:tc>
          <w:tcPr>
            <w:tcW w:type="dxa" w:w="3024"/>
          </w:tcPr>
          <w:p>
            <w:r/>
            <w:r>
              <w:rPr>
                <w:rFonts w:ascii="Times New Roman" w:hAnsi="Times New Roman"/>
                <w:sz w:val="20"/>
              </w:rPr>
              <w:t>General Counsel + Asset Mgmt Lead</w:t>
            </w:r>
          </w:p>
        </w:tc>
      </w:tr>
      <w:tr>
        <w:tc>
          <w:tcPr>
            <w:tcW w:type="dxa" w:w="3168"/>
          </w:tcPr>
          <w:p>
            <w:r/>
            <w:r>
              <w:rPr>
                <w:rFonts w:ascii="Times New Roman" w:hAnsi="Times New Roman"/>
                <w:sz w:val="20"/>
              </w:rPr>
              <w:t>Serious personal injury on property</w:t>
            </w:r>
          </w:p>
        </w:tc>
        <w:tc>
          <w:tcPr>
            <w:tcW w:type="dxa" w:w="3168"/>
          </w:tcPr>
          <w:p>
            <w:r/>
            <w:r>
              <w:rPr>
                <w:rFonts w:ascii="Times New Roman" w:hAnsi="Times New Roman"/>
                <w:sz w:val="20"/>
              </w:rPr>
              <w:t>Immediately</w:t>
            </w:r>
          </w:p>
        </w:tc>
        <w:tc>
          <w:tcPr>
            <w:tcW w:type="dxa" w:w="3024"/>
          </w:tcPr>
          <w:p>
            <w:r/>
            <w:r>
              <w:rPr>
                <w:rFonts w:ascii="Times New Roman" w:hAnsi="Times New Roman"/>
                <w:sz w:val="20"/>
              </w:rPr>
              <w:t>General Counsel + Property Mgmt Lead</w:t>
            </w:r>
          </w:p>
        </w:tc>
      </w:tr>
      <w:tr>
        <w:tc>
          <w:tcPr>
            <w:tcW w:type="dxa" w:w="3168"/>
          </w:tcPr>
          <w:p>
            <w:r/>
            <w:r>
              <w:rPr>
                <w:rFonts w:ascii="Times New Roman" w:hAnsi="Times New Roman"/>
                <w:sz w:val="20"/>
              </w:rPr>
              <w:t>Financial exposure over $250,000</w:t>
            </w:r>
          </w:p>
        </w:tc>
        <w:tc>
          <w:tcPr>
            <w:tcW w:type="dxa" w:w="3168"/>
          </w:tcPr>
          <w:p>
            <w:r/>
            <w:r>
              <w:rPr>
                <w:rFonts w:ascii="Times New Roman" w:hAnsi="Times New Roman"/>
                <w:sz w:val="20"/>
              </w:rPr>
              <w:t>Within 24 hours</w:t>
            </w:r>
          </w:p>
        </w:tc>
        <w:tc>
          <w:tcPr>
            <w:tcW w:type="dxa" w:w="3024"/>
          </w:tcPr>
          <w:p>
            <w:r/>
            <w:r>
              <w:rPr>
                <w:rFonts w:ascii="Times New Roman" w:hAnsi="Times New Roman"/>
                <w:sz w:val="20"/>
              </w:rPr>
              <w:t>General Counsel + CFO</w:t>
            </w:r>
          </w:p>
        </w:tc>
      </w:tr>
      <w:tr>
        <w:tc>
          <w:tcPr>
            <w:tcW w:type="dxa" w:w="3168"/>
          </w:tcPr>
          <w:p>
            <w:r/>
            <w:r>
              <w:rPr>
                <w:rFonts w:ascii="Times New Roman" w:hAnsi="Times New Roman"/>
                <w:sz w:val="20"/>
              </w:rPr>
              <w:t>Possible privilege waiver or breach</w:t>
            </w:r>
          </w:p>
        </w:tc>
        <w:tc>
          <w:tcPr>
            <w:tcW w:type="dxa" w:w="3168"/>
          </w:tcPr>
          <w:p>
            <w:r/>
            <w:r>
              <w:rPr>
                <w:rFonts w:ascii="Times New Roman" w:hAnsi="Times New Roman"/>
                <w:sz w:val="20"/>
              </w:rPr>
              <w:t>Immediately</w:t>
            </w:r>
          </w:p>
        </w:tc>
        <w:tc>
          <w:tcPr>
            <w:tcW w:type="dxa" w:w="3024"/>
          </w:tcPr>
          <w:p>
            <w:r/>
            <w:r>
              <w:rPr>
                <w:rFonts w:ascii="Times New Roman" w:hAnsi="Times New Roman"/>
                <w:sz w:val="20"/>
              </w:rPr>
              <w:t>General Counsel</w:t>
            </w:r>
          </w:p>
        </w:tc>
      </w:tr>
      <w:tr>
        <w:tc>
          <w:tcPr>
            <w:tcW w:type="dxa" w:w="3168"/>
          </w:tcPr>
          <w:p>
            <w:r/>
            <w:r>
              <w:rPr>
                <w:rFonts w:ascii="Times New Roman" w:hAnsi="Times New Roman"/>
                <w:sz w:val="20"/>
              </w:rPr>
              <w:t>Insurance coverage dispute</w:t>
            </w:r>
          </w:p>
        </w:tc>
        <w:tc>
          <w:tcPr>
            <w:tcW w:type="dxa" w:w="3168"/>
          </w:tcPr>
          <w:p>
            <w:r/>
            <w:r>
              <w:rPr>
                <w:rFonts w:ascii="Times New Roman" w:hAnsi="Times New Roman"/>
                <w:sz w:val="20"/>
              </w:rPr>
              <w:t>Within 48 hours</w:t>
            </w:r>
          </w:p>
        </w:tc>
        <w:tc>
          <w:tcPr>
            <w:tcW w:type="dxa" w:w="3024"/>
          </w:tcPr>
          <w:p>
            <w:r/>
            <w:r>
              <w:rPr>
                <w:rFonts w:ascii="Times New Roman" w:hAnsi="Times New Roman"/>
                <w:sz w:val="20"/>
              </w:rPr>
              <w:t>General Counsel + Asset Mgmt Lead</w:t>
            </w:r>
          </w:p>
        </w:tc>
      </w:tr>
    </w:tbl>
    <w:p/>
    <w:p>
      <w:pPr>
        <w:spacing w:before="360" w:after="200"/>
      </w:pPr>
      <w:r>
        <w:rPr>
          <w:rFonts w:ascii="Times New Roman" w:hAnsi="Times New Roman"/>
          <w:b/>
          <w:sz w:val="24"/>
          <w:u w:val="single"/>
        </w:rPr>
        <w:t>D. When Legal Escalates to Executives</w:t>
      </w:r>
    </w:p>
    <w:p>
      <w:pPr>
        <w:spacing w:after="120"/>
      </w:pPr>
      <w:r>
        <w:rPr>
          <w:rFonts w:ascii="Times New Roman" w:hAnsi="Times New Roman"/>
          <w:sz w:val="24"/>
        </w:rPr>
        <w:t>Legal escalates to executive leadership when a matter involves:</w:t>
      </w:r>
    </w:p>
    <w:p>
      <w:pPr>
        <w:pStyle w:val="ListBullet"/>
      </w:pPr>
      <w:r>
        <w:rPr>
          <w:rFonts w:ascii="Times New Roman" w:hAnsi="Times New Roman"/>
          <w:sz w:val="24"/>
        </w:rPr>
        <w:t>Big financial exposure.</w:t>
      </w:r>
    </w:p>
    <w:p>
      <w:pPr>
        <w:pStyle w:val="ListBullet"/>
      </w:pPr>
      <w:r>
        <w:rPr>
          <w:rFonts w:ascii="Times New Roman" w:hAnsi="Times New Roman"/>
          <w:sz w:val="24"/>
        </w:rPr>
        <w:t>Reputational risk.</w:t>
      </w:r>
    </w:p>
    <w:p>
      <w:pPr>
        <w:pStyle w:val="ListBullet"/>
      </w:pPr>
      <w:r>
        <w:rPr>
          <w:rFonts w:ascii="Times New Roman" w:hAnsi="Times New Roman"/>
          <w:sz w:val="24"/>
        </w:rPr>
        <w:t>Impact across the portfolio.</w:t>
      </w:r>
    </w:p>
    <w:p>
      <w:pPr>
        <w:pStyle w:val="ListBullet"/>
      </w:pPr>
      <w:r>
        <w:rPr>
          <w:rFonts w:ascii="Times New Roman" w:hAnsi="Times New Roman"/>
          <w:sz w:val="24"/>
        </w:rPr>
        <w:t>Strategic impact on the business.</w:t>
      </w:r>
    </w:p>
    <w:p>
      <w:pPr>
        <w:spacing w:after="120"/>
      </w:pPr>
      <w:r>
        <w:rPr>
          <w:rFonts w:ascii="Times New Roman" w:hAnsi="Times New Roman"/>
          <w:sz w:val="24"/>
        </w:rPr>
        <w:t>Escalations to executives include a written summary, current status, recommended action, and financial impact. Legal uses a standard escalation memo format for consistency.</w:t>
      </w:r>
    </w:p>
    <w:p>
      <w:pPr>
        <w:spacing w:before="360" w:after="200"/>
      </w:pPr>
      <w:r>
        <w:rPr>
          <w:rFonts w:ascii="Times New Roman" w:hAnsi="Times New Roman"/>
          <w:b/>
          <w:sz w:val="24"/>
          <w:u w:val="single"/>
        </w:rPr>
        <w:t>E. Regular Legal Updates</w:t>
      </w:r>
    </w:p>
    <w:p>
      <w:pPr>
        <w:spacing w:after="120"/>
      </w:pPr>
      <w:r>
        <w:rPr>
          <w:rFonts w:ascii="Times New Roman" w:hAnsi="Times New Roman"/>
          <w:sz w:val="24"/>
        </w:rPr>
        <w:t>Legal gives executive leadership regular updates with:</w:t>
      </w:r>
    </w:p>
    <w:p>
      <w:pPr>
        <w:pStyle w:val="ListBullet"/>
      </w:pPr>
      <w:r>
        <w:rPr>
          <w:rFonts w:ascii="Times New Roman" w:hAnsi="Times New Roman"/>
          <w:sz w:val="24"/>
        </w:rPr>
        <w:t>Status of significant matters.</w:t>
      </w:r>
    </w:p>
    <w:p>
      <w:pPr>
        <w:pStyle w:val="ListBullet"/>
      </w:pPr>
      <w:r>
        <w:rPr>
          <w:rFonts w:ascii="Times New Roman" w:hAnsi="Times New Roman"/>
          <w:sz w:val="24"/>
        </w:rPr>
        <w:t>Litigation exposure.</w:t>
      </w:r>
    </w:p>
    <w:p>
      <w:pPr>
        <w:pStyle w:val="ListBullet"/>
      </w:pPr>
      <w:r>
        <w:rPr>
          <w:rFonts w:ascii="Times New Roman" w:hAnsi="Times New Roman"/>
          <w:sz w:val="24"/>
        </w:rPr>
        <w:t>Key risks and developments.</w:t>
      </w:r>
    </w:p>
    <w:p>
      <w:pPr>
        <w:spacing w:after="120"/>
      </w:pPr>
      <w:r>
        <w:rPr>
          <w:rFonts w:ascii="Times New Roman" w:hAnsi="Times New Roman"/>
          <w:sz w:val="24"/>
        </w:rPr>
        <w:t>The Legal Risk Tracker and Legal Risk Dashboard (Section 10 and Attachment B) feed these updates.</w:t>
      </w:r>
    </w:p>
    <w:p>
      <w:r>
        <w:br w:type="page"/>
      </w:r>
    </w:p>
    <w:p>
      <w:pPr>
        <w:spacing w:before="480" w:after="240"/>
      </w:pPr>
      <w:r>
        <w:rPr>
          <w:rFonts w:ascii="Times New Roman" w:hAnsi="Times New Roman"/>
          <w:b/>
          <w:sz w:val="24"/>
        </w:rPr>
        <w:t>10. LEGAL RISK TRACKING AND REPORTING</w:t>
      </w:r>
    </w:p>
    <w:p>
      <w:pPr>
        <w:spacing w:after="120"/>
      </w:pPr>
      <w:r>
        <w:rPr>
          <w:rFonts w:ascii="Times New Roman" w:hAnsi="Times New Roman"/>
          <w:sz w:val="24"/>
        </w:rPr>
        <w:t>Legal runs a Legal Risk Tracker so everyone can see what's going on across the portfolio.</w:t>
      </w:r>
    </w:p>
    <w:p>
      <w:pPr>
        <w:spacing w:after="120"/>
      </w:pPr>
      <w:r>
        <w:rPr>
          <w:rFonts w:ascii="Times New Roman" w:hAnsi="Times New Roman"/>
          <w:sz w:val="24"/>
        </w:rPr>
        <w:t>The tracker lets us:</w:t>
      </w:r>
    </w:p>
    <w:p>
      <w:pPr>
        <w:pStyle w:val="ListBullet"/>
      </w:pPr>
      <w:r>
        <w:rPr>
          <w:rFonts w:ascii="Times New Roman" w:hAnsi="Times New Roman"/>
          <w:sz w:val="24"/>
        </w:rPr>
        <w:t>Monitor lawsuits and disputes.</w:t>
      </w:r>
    </w:p>
    <w:p>
      <w:pPr>
        <w:pStyle w:val="ListBullet"/>
      </w:pPr>
      <w:r>
        <w:rPr>
          <w:rFonts w:ascii="Times New Roman" w:hAnsi="Times New Roman"/>
          <w:sz w:val="24"/>
        </w:rPr>
        <w:t>Track tenant defaults and exposure.</w:t>
      </w:r>
    </w:p>
    <w:p>
      <w:pPr>
        <w:pStyle w:val="ListBullet"/>
      </w:pPr>
      <w:r>
        <w:rPr>
          <w:rFonts w:ascii="Times New Roman" w:hAnsi="Times New Roman"/>
          <w:sz w:val="24"/>
        </w:rPr>
        <w:t>Spot trends and recurring issues.</w:t>
      </w:r>
    </w:p>
    <w:p>
      <w:pPr>
        <w:pStyle w:val="ListBullet"/>
      </w:pPr>
      <w:r>
        <w:rPr>
          <w:rFonts w:ascii="Times New Roman" w:hAnsi="Times New Roman"/>
          <w:sz w:val="24"/>
        </w:rPr>
        <w:t>Support executive decisions.</w:t>
      </w:r>
    </w:p>
    <w:p>
      <w:pPr>
        <w:spacing w:before="360" w:after="200"/>
      </w:pPr>
      <w:r>
        <w:rPr>
          <w:rFonts w:ascii="Times New Roman" w:hAnsi="Times New Roman"/>
          <w:b/>
          <w:sz w:val="24"/>
          <w:u w:val="single"/>
        </w:rPr>
        <w:t>A. Risk Categories</w:t>
      </w:r>
    </w:p>
    <w:p>
      <w:pPr>
        <w:spacing w:after="120"/>
      </w:pPr>
      <w:r>
        <w:rPr>
          <w:rFonts w:ascii="Times New Roman" w:hAnsi="Times New Roman"/>
          <w:sz w:val="24"/>
        </w:rPr>
        <w:t>Legal sorts matters into:</w:t>
      </w:r>
    </w:p>
    <w:p>
      <w:pPr>
        <w:pStyle w:val="ListBullet"/>
      </w:pPr>
      <w:r>
        <w:rPr>
          <w:rFonts w:ascii="Times New Roman" w:hAnsi="Times New Roman"/>
          <w:sz w:val="24"/>
        </w:rPr>
        <w:t>Litigation.</w:t>
      </w:r>
    </w:p>
    <w:p>
      <w:pPr>
        <w:pStyle w:val="ListBullet"/>
      </w:pPr>
      <w:r>
        <w:rPr>
          <w:rFonts w:ascii="Times New Roman" w:hAnsi="Times New Roman"/>
          <w:sz w:val="24"/>
        </w:rPr>
        <w:t>Tenant defaults.</w:t>
      </w:r>
    </w:p>
    <w:p>
      <w:pPr>
        <w:pStyle w:val="ListBullet"/>
      </w:pPr>
      <w:r>
        <w:rPr>
          <w:rFonts w:ascii="Times New Roman" w:hAnsi="Times New Roman"/>
          <w:sz w:val="24"/>
        </w:rPr>
        <w:t>Bankruptcy.</w:t>
      </w:r>
    </w:p>
    <w:p>
      <w:pPr>
        <w:pStyle w:val="ListBullet"/>
      </w:pPr>
      <w:r>
        <w:rPr>
          <w:rFonts w:ascii="Times New Roman" w:hAnsi="Times New Roman"/>
          <w:sz w:val="24"/>
        </w:rPr>
        <w:t>Insurance claims.</w:t>
      </w:r>
    </w:p>
    <w:p>
      <w:pPr>
        <w:pStyle w:val="ListBullet"/>
      </w:pPr>
      <w:r>
        <w:rPr>
          <w:rFonts w:ascii="Times New Roman" w:hAnsi="Times New Roman"/>
          <w:sz w:val="24"/>
        </w:rPr>
        <w:t>Regulatory matters.</w:t>
      </w:r>
    </w:p>
    <w:p>
      <w:pPr>
        <w:pStyle w:val="ListBullet"/>
      </w:pPr>
      <w:r>
        <w:rPr>
          <w:rFonts w:ascii="Times New Roman" w:hAnsi="Times New Roman"/>
          <w:sz w:val="24"/>
        </w:rPr>
        <w:t>Environmental issues.</w:t>
      </w:r>
    </w:p>
    <w:p>
      <w:pPr>
        <w:spacing w:before="360" w:after="200"/>
      </w:pPr>
      <w:r>
        <w:rPr>
          <w:rFonts w:ascii="Times New Roman" w:hAnsi="Times New Roman"/>
          <w:b/>
          <w:sz w:val="24"/>
          <w:u w:val="single"/>
        </w:rPr>
        <w:t>B. How We Rate Risk</w:t>
      </w:r>
    </w:p>
    <w:p>
      <w:pPr>
        <w:spacing w:after="120"/>
      </w:pPr>
      <w:r>
        <w:rPr>
          <w:rFonts w:ascii="Times New Roman" w:hAnsi="Times New Roman"/>
          <w:sz w:val="24"/>
        </w:rPr>
        <w:t>Each matter gets a probability-impact rating:</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fill="D9E2F3" w:val="clear"/>
          </w:tcPr>
          <w:p>
            <w:pPr>
              <w:jc w:val="center"/>
            </w:pPr>
            <w:r/>
            <w:r>
              <w:rPr>
                <w:rFonts w:ascii="Times New Roman" w:hAnsi="Times New Roman"/>
                <w:b/>
                <w:sz w:val="20"/>
              </w:rPr>
              <w:t>Rating</w:t>
            </w:r>
          </w:p>
        </w:tc>
        <w:tc>
          <w:tcPr>
            <w:tcW w:type="dxa" w:w="3168"/>
            <w:shd w:fill="D9E2F3" w:val="clear"/>
          </w:tcPr>
          <w:p>
            <w:pPr>
              <w:jc w:val="center"/>
            </w:pPr>
            <w:r/>
            <w:r>
              <w:rPr>
                <w:rFonts w:ascii="Times New Roman" w:hAnsi="Times New Roman"/>
                <w:b/>
                <w:sz w:val="20"/>
              </w:rPr>
              <w:t>Probability</w:t>
            </w:r>
          </w:p>
        </w:tc>
        <w:tc>
          <w:tcPr>
            <w:tcW w:type="dxa" w:w="3024"/>
            <w:shd w:fill="D9E2F3" w:val="clear"/>
          </w:tcPr>
          <w:p>
            <w:pPr>
              <w:jc w:val="center"/>
            </w:pPr>
            <w:r/>
            <w:r>
              <w:rPr>
                <w:rFonts w:ascii="Times New Roman" w:hAnsi="Times New Roman"/>
                <w:b/>
                <w:sz w:val="20"/>
              </w:rPr>
              <w:t>Financial Impact</w:t>
            </w:r>
          </w:p>
        </w:tc>
      </w:tr>
      <w:tr>
        <w:tc>
          <w:tcPr>
            <w:tcW w:type="dxa" w:w="3168"/>
          </w:tcPr>
          <w:p>
            <w:r/>
            <w:r>
              <w:rPr>
                <w:rFonts w:ascii="Times New Roman" w:hAnsi="Times New Roman"/>
                <w:sz w:val="20"/>
              </w:rPr>
              <w:t>High</w:t>
            </w:r>
          </w:p>
        </w:tc>
        <w:tc>
          <w:tcPr>
            <w:tcW w:type="dxa" w:w="3168"/>
          </w:tcPr>
          <w:p>
            <w:r/>
            <w:r>
              <w:rPr>
                <w:rFonts w:ascii="Times New Roman" w:hAnsi="Times New Roman"/>
                <w:sz w:val="20"/>
              </w:rPr>
              <w:t>Likely (&gt;70%)</w:t>
            </w:r>
          </w:p>
        </w:tc>
        <w:tc>
          <w:tcPr>
            <w:tcW w:type="dxa" w:w="3024"/>
          </w:tcPr>
          <w:p>
            <w:r/>
            <w:r>
              <w:rPr>
                <w:rFonts w:ascii="Times New Roman" w:hAnsi="Times New Roman"/>
                <w:sz w:val="20"/>
              </w:rPr>
              <w:t>&gt; $500,000</w:t>
            </w:r>
          </w:p>
        </w:tc>
      </w:tr>
      <w:tr>
        <w:tc>
          <w:tcPr>
            <w:tcW w:type="dxa" w:w="3168"/>
          </w:tcPr>
          <w:p>
            <w:r/>
            <w:r>
              <w:rPr>
                <w:rFonts w:ascii="Times New Roman" w:hAnsi="Times New Roman"/>
                <w:sz w:val="20"/>
              </w:rPr>
              <w:t>Medium</w:t>
            </w:r>
          </w:p>
        </w:tc>
        <w:tc>
          <w:tcPr>
            <w:tcW w:type="dxa" w:w="3168"/>
          </w:tcPr>
          <w:p>
            <w:r/>
            <w:r>
              <w:rPr>
                <w:rFonts w:ascii="Times New Roman" w:hAnsi="Times New Roman"/>
                <w:sz w:val="20"/>
              </w:rPr>
              <w:t>Possible (30–70%)</w:t>
            </w:r>
          </w:p>
        </w:tc>
        <w:tc>
          <w:tcPr>
            <w:tcW w:type="dxa" w:w="3024"/>
          </w:tcPr>
          <w:p>
            <w:r/>
            <w:r>
              <w:rPr>
                <w:rFonts w:ascii="Times New Roman" w:hAnsi="Times New Roman"/>
                <w:sz w:val="20"/>
              </w:rPr>
              <w:t>$100,000 – $500,000</w:t>
            </w:r>
          </w:p>
        </w:tc>
      </w:tr>
      <w:tr>
        <w:tc>
          <w:tcPr>
            <w:tcW w:type="dxa" w:w="3168"/>
          </w:tcPr>
          <w:p>
            <w:r/>
            <w:r>
              <w:rPr>
                <w:rFonts w:ascii="Times New Roman" w:hAnsi="Times New Roman"/>
                <w:sz w:val="20"/>
              </w:rPr>
              <w:t>Low</w:t>
            </w:r>
          </w:p>
        </w:tc>
        <w:tc>
          <w:tcPr>
            <w:tcW w:type="dxa" w:w="3168"/>
          </w:tcPr>
          <w:p>
            <w:r/>
            <w:r>
              <w:rPr>
                <w:rFonts w:ascii="Times New Roman" w:hAnsi="Times New Roman"/>
                <w:sz w:val="20"/>
              </w:rPr>
              <w:t>Unlikely (&lt;30%)</w:t>
            </w:r>
          </w:p>
        </w:tc>
        <w:tc>
          <w:tcPr>
            <w:tcW w:type="dxa" w:w="3024"/>
          </w:tcPr>
          <w:p>
            <w:r/>
            <w:r>
              <w:rPr>
                <w:rFonts w:ascii="Times New Roman" w:hAnsi="Times New Roman"/>
                <w:sz w:val="20"/>
              </w:rPr>
              <w:t>&lt; $100,000</w:t>
            </w:r>
          </w:p>
        </w:tc>
      </w:tr>
    </w:tbl>
    <w:p/>
    <w:p>
      <w:pPr>
        <w:spacing w:after="120"/>
      </w:pPr>
      <w:r>
        <w:rPr>
          <w:rFonts w:ascii="Times New Roman" w:hAnsi="Times New Roman"/>
          <w:sz w:val="24"/>
        </w:rPr>
        <w:t>We also consider:</w:t>
      </w:r>
    </w:p>
    <w:p>
      <w:pPr>
        <w:pStyle w:val="ListBullet"/>
      </w:pPr>
      <w:r>
        <w:rPr>
          <w:rFonts w:ascii="Times New Roman" w:hAnsi="Times New Roman"/>
          <w:sz w:val="24"/>
        </w:rPr>
        <w:t>Strategic or precedent risk.</w:t>
      </w:r>
    </w:p>
    <w:p>
      <w:pPr>
        <w:pStyle w:val="ListBullet"/>
      </w:pPr>
      <w:r>
        <w:rPr>
          <w:rFonts w:ascii="Times New Roman" w:hAnsi="Times New Roman"/>
          <w:sz w:val="24"/>
        </w:rPr>
        <w:t>Reputational impact.</w:t>
      </w:r>
    </w:p>
    <w:p>
      <w:pPr>
        <w:pStyle w:val="ListBullet"/>
      </w:pPr>
      <w:r>
        <w:rPr>
          <w:rFonts w:ascii="Times New Roman" w:hAnsi="Times New Roman"/>
          <w:sz w:val="24"/>
        </w:rPr>
        <w:t>Whether insurance covers it.</w:t>
      </w:r>
    </w:p>
    <w:p>
      <w:pPr>
        <w:pStyle w:val="ListBullet"/>
      </w:pPr>
      <w:r>
        <w:rPr>
          <w:rFonts w:ascii="Times New Roman" w:hAnsi="Times New Roman"/>
          <w:sz w:val="24"/>
        </w:rPr>
        <w:t>Strength of our legal position.</w:t>
      </w:r>
    </w:p>
    <w:p>
      <w:pPr>
        <w:spacing w:after="120"/>
      </w:pPr>
      <w:r>
        <w:rPr>
          <w:rFonts w:ascii="Times New Roman" w:hAnsi="Times New Roman"/>
          <w:sz w:val="24"/>
        </w:rPr>
        <w:t>Review ratings every reporting cycle. Document why a rating changes.</w:t>
      </w:r>
    </w:p>
    <w:p>
      <w:pPr>
        <w:spacing w:before="360" w:after="200"/>
      </w:pPr>
      <w:r>
        <w:rPr>
          <w:rFonts w:ascii="Times New Roman" w:hAnsi="Times New Roman"/>
          <w:b/>
          <w:sz w:val="24"/>
          <w:u w:val="single"/>
        </w:rPr>
        <w:t>C. Reporting Cadence</w:t>
      </w:r>
    </w:p>
    <w:p>
      <w:pPr>
        <w:spacing w:after="120"/>
      </w:pPr>
      <w:r>
        <w:rPr>
          <w:rFonts w:ascii="Times New Roman" w:hAnsi="Times New Roman"/>
          <w:sz w:val="24"/>
        </w:rPr>
        <w:t>How often we update the tracker:</w:t>
      </w:r>
    </w:p>
    <w:p>
      <w:pPr>
        <w:pStyle w:val="ListBullet"/>
      </w:pPr>
      <w:r>
        <w:rPr>
          <w:rFonts w:ascii="Times New Roman" w:hAnsi="Times New Roman"/>
          <w:sz w:val="24"/>
        </w:rPr>
        <w:t>High-priority matters: weekly.</w:t>
      </w:r>
    </w:p>
    <w:p>
      <w:pPr>
        <w:pStyle w:val="ListBullet"/>
      </w:pPr>
      <w:r>
        <w:rPr>
          <w:rFonts w:ascii="Times New Roman" w:hAnsi="Times New Roman"/>
          <w:sz w:val="24"/>
        </w:rPr>
        <w:t>Medium-priority matters: monthly.</w:t>
      </w:r>
    </w:p>
    <w:p>
      <w:pPr>
        <w:pStyle w:val="ListBullet"/>
      </w:pPr>
      <w:r>
        <w:rPr>
          <w:rFonts w:ascii="Times New Roman" w:hAnsi="Times New Roman"/>
          <w:sz w:val="24"/>
        </w:rPr>
        <w:t>Low-priority matters: quarterly.</w:t>
      </w:r>
    </w:p>
    <w:p>
      <w:pPr>
        <w:spacing w:after="120"/>
      </w:pPr>
      <w:r>
        <w:rPr>
          <w:rFonts w:ascii="Times New Roman" w:hAnsi="Times New Roman"/>
          <w:sz w:val="24"/>
        </w:rPr>
        <w:t>Send updates to executive leadership before the scheduled legal update meetings. Prepare the Legal Risk Dashboard (Attachment B) monthly for the CFO and quarterly for the Board.</w:t>
      </w:r>
    </w:p>
    <w:p>
      <w:pPr>
        <w:spacing w:before="360" w:after="200"/>
      </w:pPr>
      <w:r>
        <w:rPr>
          <w:rFonts w:ascii="Times New Roman" w:hAnsi="Times New Roman"/>
          <w:b/>
          <w:sz w:val="24"/>
          <w:u w:val="single"/>
        </w:rPr>
        <w:t>D. Reserves</w:t>
      </w:r>
    </w:p>
    <w:p>
      <w:pPr>
        <w:spacing w:after="120"/>
      </w:pPr>
      <w:r>
        <w:rPr>
          <w:rFonts w:ascii="Times New Roman" w:hAnsi="Times New Roman"/>
          <w:sz w:val="24"/>
        </w:rPr>
        <w:t>Finance uses the risk data to set reserves. Legal gives estimated exposure ranges for every Medium or High matter, updated at least quarterly or right away if something material changes.</w:t>
      </w:r>
    </w:p>
    <w:p>
      <w:pPr>
        <w:spacing w:before="360" w:after="200"/>
      </w:pPr>
      <w:r>
        <w:rPr>
          <w:rFonts w:ascii="Times New Roman" w:hAnsi="Times New Roman"/>
          <w:b/>
          <w:sz w:val="24"/>
          <w:u w:val="single"/>
        </w:rPr>
        <w:t>E. What We Do with Risk Data</w:t>
      </w:r>
    </w:p>
    <w:p>
      <w:pPr>
        <w:spacing w:after="120"/>
      </w:pPr>
      <w:r>
        <w:rPr>
          <w:rFonts w:ascii="Times New Roman" w:hAnsi="Times New Roman"/>
          <w:sz w:val="24"/>
        </w:rPr>
        <w:t>Risk data helps:</w:t>
      </w:r>
    </w:p>
    <w:p>
      <w:pPr>
        <w:pStyle w:val="ListBullet"/>
      </w:pPr>
      <w:r>
        <w:rPr>
          <w:rFonts w:ascii="Times New Roman" w:hAnsi="Times New Roman"/>
          <w:sz w:val="24"/>
        </w:rPr>
        <w:t>Set reserves.</w:t>
      </w:r>
    </w:p>
    <w:p>
      <w:pPr>
        <w:pStyle w:val="ListBullet"/>
      </w:pPr>
      <w:r>
        <w:rPr>
          <w:rFonts w:ascii="Times New Roman" w:hAnsi="Times New Roman"/>
          <w:sz w:val="24"/>
        </w:rPr>
        <w:t>Support strategic planning.</w:t>
      </w:r>
    </w:p>
    <w:p>
      <w:pPr>
        <w:pStyle w:val="ListBullet"/>
      </w:pPr>
      <w:r>
        <w:rPr>
          <w:rFonts w:ascii="Times New Roman" w:hAnsi="Times New Roman"/>
          <w:sz w:val="24"/>
        </w:rPr>
        <w:t>Identify where to reduce risk.</w:t>
      </w:r>
    </w:p>
    <w:p>
      <w:pPr>
        <w:pStyle w:val="ListBullet"/>
      </w:pPr>
      <w:r>
        <w:rPr>
          <w:rFonts w:ascii="Times New Roman" w:hAnsi="Times New Roman"/>
          <w:sz w:val="24"/>
        </w:rPr>
        <w:t>Improve lease forms and procedures.</w:t>
      </w:r>
    </w:p>
    <w:p>
      <w:r>
        <w:br w:type="page"/>
      </w:r>
    </w:p>
    <w:p>
      <w:pPr>
        <w:spacing w:before="480" w:after="240"/>
      </w:pPr>
      <w:r>
        <w:rPr>
          <w:rFonts w:ascii="Times New Roman" w:hAnsi="Times New Roman"/>
          <w:b/>
          <w:sz w:val="24"/>
        </w:rPr>
        <w:t>11. TRAINING AND CONTINUOUS IMPROVEMENT</w:t>
      </w:r>
    </w:p>
    <w:p>
      <w:pPr>
        <w:spacing w:after="120"/>
      </w:pPr>
      <w:r>
        <w:rPr>
          <w:rFonts w:ascii="Times New Roman" w:hAnsi="Times New Roman"/>
          <w:sz w:val="24"/>
        </w:rPr>
        <w:t>Legal runs training to help other teams work with us and reduce risk.</w:t>
      </w:r>
    </w:p>
    <w:p>
      <w:pPr>
        <w:spacing w:before="360" w:after="200"/>
      </w:pPr>
      <w:r>
        <w:rPr>
          <w:rFonts w:ascii="Times New Roman" w:hAnsi="Times New Roman"/>
          <w:b/>
          <w:sz w:val="24"/>
          <w:u w:val="single"/>
        </w:rPr>
        <w:t>A. Internal Training Program</w:t>
      </w:r>
    </w:p>
    <w:p>
      <w:pPr>
        <w:spacing w:after="120"/>
      </w:pPr>
      <w:r>
        <w:rPr>
          <w:rFonts w:ascii="Times New Roman" w:hAnsi="Times New Roman"/>
          <w:sz w:val="24"/>
        </w:rPr>
        <w:t>Training schedule:</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D9E2F3" w:val="clear"/>
          </w:tcPr>
          <w:p>
            <w:pPr>
              <w:jc w:val="center"/>
            </w:pPr>
            <w:r/>
            <w:r>
              <w:rPr>
                <w:rFonts w:ascii="Times New Roman" w:hAnsi="Times New Roman"/>
                <w:b/>
                <w:sz w:val="20"/>
              </w:rPr>
              <w:t>Audience</w:t>
            </w:r>
          </w:p>
        </w:tc>
        <w:tc>
          <w:tcPr>
            <w:tcW w:type="dxa" w:w="2160"/>
            <w:shd w:fill="D9E2F3" w:val="clear"/>
          </w:tcPr>
          <w:p>
            <w:pPr>
              <w:jc w:val="center"/>
            </w:pPr>
            <w:r/>
            <w:r>
              <w:rPr>
                <w:rFonts w:ascii="Times New Roman" w:hAnsi="Times New Roman"/>
                <w:b/>
                <w:sz w:val="20"/>
              </w:rPr>
              <w:t>How Often</w:t>
            </w:r>
          </w:p>
        </w:tc>
        <w:tc>
          <w:tcPr>
            <w:tcW w:type="dxa" w:w="4608"/>
            <w:shd w:fill="D9E2F3" w:val="clear"/>
          </w:tcPr>
          <w:p>
            <w:pPr>
              <w:jc w:val="center"/>
            </w:pPr>
            <w:r/>
            <w:r>
              <w:rPr>
                <w:rFonts w:ascii="Times New Roman" w:hAnsi="Times New Roman"/>
                <w:b/>
                <w:sz w:val="20"/>
              </w:rPr>
              <w:t>Topics</w:t>
            </w:r>
          </w:p>
        </w:tc>
      </w:tr>
      <w:tr>
        <w:tc>
          <w:tcPr>
            <w:tcW w:type="dxa" w:w="2592"/>
          </w:tcPr>
          <w:p>
            <w:r/>
            <w:r>
              <w:rPr>
                <w:rFonts w:ascii="Times New Roman" w:hAnsi="Times New Roman"/>
                <w:sz w:val="20"/>
              </w:rPr>
              <w:t>Asset Management</w:t>
            </w:r>
          </w:p>
        </w:tc>
        <w:tc>
          <w:tcPr>
            <w:tcW w:type="dxa" w:w="2160"/>
          </w:tcPr>
          <w:p>
            <w:r/>
            <w:r>
              <w:rPr>
                <w:rFonts w:ascii="Times New Roman" w:hAnsi="Times New Roman"/>
                <w:sz w:val="20"/>
              </w:rPr>
              <w:t>Quarterly</w:t>
            </w:r>
          </w:p>
        </w:tc>
        <w:tc>
          <w:tcPr>
            <w:tcW w:type="dxa" w:w="4608"/>
          </w:tcPr>
          <w:p>
            <w:r/>
            <w:r>
              <w:rPr>
                <w:rFonts w:ascii="Times New Roman" w:hAnsi="Times New Roman"/>
                <w:sz w:val="20"/>
              </w:rPr>
              <w:t>Lease provisions, negotiation, document workflow</w:t>
            </w:r>
          </w:p>
        </w:tc>
      </w:tr>
      <w:tr>
        <w:tc>
          <w:tcPr>
            <w:tcW w:type="dxa" w:w="2592"/>
          </w:tcPr>
          <w:p>
            <w:r/>
            <w:r>
              <w:rPr>
                <w:rFonts w:ascii="Times New Roman" w:hAnsi="Times New Roman"/>
                <w:sz w:val="20"/>
              </w:rPr>
              <w:t>Property Management</w:t>
            </w:r>
          </w:p>
        </w:tc>
        <w:tc>
          <w:tcPr>
            <w:tcW w:type="dxa" w:w="2160"/>
          </w:tcPr>
          <w:p>
            <w:r/>
            <w:r>
              <w:rPr>
                <w:rFonts w:ascii="Times New Roman" w:hAnsi="Times New Roman"/>
                <w:sz w:val="20"/>
              </w:rPr>
              <w:t>Quarterly</w:t>
            </w:r>
          </w:p>
        </w:tc>
        <w:tc>
          <w:tcPr>
            <w:tcW w:type="dxa" w:w="4608"/>
          </w:tcPr>
          <w:p>
            <w:r/>
            <w:r>
              <w:rPr>
                <w:rFonts w:ascii="Times New Roman" w:hAnsi="Times New Roman"/>
                <w:sz w:val="20"/>
              </w:rPr>
              <w:t>Incident reporting, insurance claims, escalation</w:t>
            </w:r>
          </w:p>
        </w:tc>
      </w:tr>
      <w:tr>
        <w:tc>
          <w:tcPr>
            <w:tcW w:type="dxa" w:w="2592"/>
          </w:tcPr>
          <w:p>
            <w:r/>
            <w:r>
              <w:rPr>
                <w:rFonts w:ascii="Times New Roman" w:hAnsi="Times New Roman"/>
                <w:sz w:val="20"/>
              </w:rPr>
              <w:t>Finance</w:t>
            </w:r>
          </w:p>
        </w:tc>
        <w:tc>
          <w:tcPr>
            <w:tcW w:type="dxa" w:w="2160"/>
          </w:tcPr>
          <w:p>
            <w:r/>
            <w:r>
              <w:rPr>
                <w:rFonts w:ascii="Times New Roman" w:hAnsi="Times New Roman"/>
                <w:sz w:val="20"/>
              </w:rPr>
              <w:t>Twice a year</w:t>
            </w:r>
          </w:p>
        </w:tc>
        <w:tc>
          <w:tcPr>
            <w:tcW w:type="dxa" w:w="4608"/>
          </w:tcPr>
          <w:p>
            <w:r/>
            <w:r>
              <w:rPr>
                <w:rFonts w:ascii="Times New Roman" w:hAnsi="Times New Roman"/>
                <w:sz w:val="20"/>
              </w:rPr>
              <w:t>Risk reporting, reserves, governance</w:t>
            </w:r>
          </w:p>
        </w:tc>
      </w:tr>
      <w:tr>
        <w:tc>
          <w:tcPr>
            <w:tcW w:type="dxa" w:w="2592"/>
          </w:tcPr>
          <w:p>
            <w:r/>
            <w:r>
              <w:rPr>
                <w:rFonts w:ascii="Times New Roman" w:hAnsi="Times New Roman"/>
                <w:sz w:val="20"/>
              </w:rPr>
              <w:t>All Departments</w:t>
            </w:r>
          </w:p>
        </w:tc>
        <w:tc>
          <w:tcPr>
            <w:tcW w:type="dxa" w:w="2160"/>
          </w:tcPr>
          <w:p>
            <w:r/>
            <w:r>
              <w:rPr>
                <w:rFonts w:ascii="Times New Roman" w:hAnsi="Times New Roman"/>
                <w:sz w:val="20"/>
              </w:rPr>
              <w:t>Annually</w:t>
            </w:r>
          </w:p>
        </w:tc>
        <w:tc>
          <w:tcPr>
            <w:tcW w:type="dxa" w:w="4608"/>
          </w:tcPr>
          <w:p>
            <w:r/>
            <w:r>
              <w:rPr>
                <w:rFonts w:ascii="Times New Roman" w:hAnsi="Times New Roman"/>
                <w:sz w:val="20"/>
              </w:rPr>
              <w:t>Confidentiality, privilege, policy updates</w:t>
            </w:r>
          </w:p>
        </w:tc>
      </w:tr>
      <w:tr>
        <w:tc>
          <w:tcPr>
            <w:tcW w:type="dxa" w:w="2592"/>
          </w:tcPr>
          <w:p>
            <w:r/>
            <w:r>
              <w:rPr>
                <w:rFonts w:ascii="Times New Roman" w:hAnsi="Times New Roman"/>
                <w:sz w:val="20"/>
              </w:rPr>
              <w:t>Legal new hires</w:t>
            </w:r>
          </w:p>
        </w:tc>
        <w:tc>
          <w:tcPr>
            <w:tcW w:type="dxa" w:w="2160"/>
          </w:tcPr>
          <w:p>
            <w:r/>
            <w:r>
              <w:rPr>
                <w:rFonts w:ascii="Times New Roman" w:hAnsi="Times New Roman"/>
                <w:sz w:val="20"/>
              </w:rPr>
              <w:t>At onboarding</w:t>
            </w:r>
          </w:p>
        </w:tc>
        <w:tc>
          <w:tcPr>
            <w:tcW w:type="dxa" w:w="4608"/>
          </w:tcPr>
          <w:p>
            <w:r/>
            <w:r>
              <w:rPr>
                <w:rFonts w:ascii="Times New Roman" w:hAnsi="Times New Roman"/>
                <w:sz w:val="20"/>
              </w:rPr>
              <w:t>Systems, standard forms, naming, workflows</w:t>
            </w:r>
          </w:p>
        </w:tc>
      </w:tr>
    </w:tbl>
    <w:p/>
    <w:p>
      <w:pPr>
        <w:spacing w:before="360" w:after="200"/>
      </w:pPr>
      <w:r>
        <w:rPr>
          <w:rFonts w:ascii="Times New Roman" w:hAnsi="Times New Roman"/>
          <w:b/>
          <w:sz w:val="24"/>
          <w:u w:val="single"/>
        </w:rPr>
        <w:t>B. New Hire Onboarding (Legal)</w:t>
      </w:r>
    </w:p>
    <w:p>
      <w:pPr>
        <w:spacing w:after="120"/>
      </w:pPr>
      <w:r>
        <w:rPr>
          <w:rFonts w:ascii="Times New Roman" w:hAnsi="Times New Roman"/>
          <w:sz w:val="24"/>
        </w:rPr>
        <w:t>New Legal staff complete this checklist:</w:t>
      </w:r>
    </w:p>
    <w:p>
      <w:pPr>
        <w:pStyle w:val="ListNumber"/>
      </w:pPr>
      <w:r>
        <w:rPr>
          <w:rFonts w:ascii="Times New Roman" w:hAnsi="Times New Roman"/>
          <w:sz w:val="24"/>
        </w:rPr>
        <w:t>Read the Manual and all attachments.</w:t>
      </w:r>
    </w:p>
    <w:p>
      <w:pPr>
        <w:pStyle w:val="ListNumber"/>
      </w:pPr>
      <w:r>
        <w:rPr>
          <w:rFonts w:ascii="Times New Roman" w:hAnsi="Times New Roman"/>
          <w:sz w:val="24"/>
        </w:rPr>
        <w:t>Learn the Company's entity structure and portfolio.</w:t>
      </w:r>
    </w:p>
    <w:p>
      <w:pPr>
        <w:pStyle w:val="ListNumber"/>
      </w:pPr>
      <w:r>
        <w:rPr>
          <w:rFonts w:ascii="Times New Roman" w:hAnsi="Times New Roman"/>
          <w:sz w:val="24"/>
        </w:rPr>
        <w:t>Train on Salesforce (intake, workflow, dashboard).</w:t>
      </w:r>
    </w:p>
    <w:p>
      <w:pPr>
        <w:pStyle w:val="ListNumber"/>
      </w:pPr>
      <w:r>
        <w:rPr>
          <w:rFonts w:ascii="Times New Roman" w:hAnsi="Times New Roman"/>
          <w:sz w:val="24"/>
        </w:rPr>
        <w:t>Train on SharePoint (storage, collaboration, naming).</w:t>
      </w:r>
    </w:p>
    <w:p>
      <w:pPr>
        <w:pStyle w:val="ListNumber"/>
      </w:pPr>
      <w:r>
        <w:rPr>
          <w:rFonts w:ascii="Times New Roman" w:hAnsi="Times New Roman"/>
          <w:sz w:val="24"/>
        </w:rPr>
        <w:t>Review standard lease forms and key provisions.</w:t>
      </w:r>
    </w:p>
    <w:p>
      <w:pPr>
        <w:pStyle w:val="ListNumber"/>
      </w:pPr>
      <w:r>
        <w:rPr>
          <w:rFonts w:ascii="Times New Roman" w:hAnsi="Times New Roman"/>
          <w:sz w:val="24"/>
        </w:rPr>
        <w:t>Review active litigation and the risk tracker.</w:t>
      </w:r>
    </w:p>
    <w:p>
      <w:pPr>
        <w:pStyle w:val="ListNumber"/>
      </w:pPr>
      <w:r>
        <w:rPr>
          <w:rFonts w:ascii="Times New Roman" w:hAnsi="Times New Roman"/>
          <w:sz w:val="24"/>
        </w:rPr>
        <w:t>Meet the outside counsel panel and learn billing guidelines.</w:t>
      </w:r>
    </w:p>
    <w:p>
      <w:pPr>
        <w:pStyle w:val="ListNumber"/>
      </w:pPr>
      <w:r>
        <w:rPr>
          <w:rFonts w:ascii="Times New Roman" w:hAnsi="Times New Roman"/>
          <w:sz w:val="24"/>
        </w:rPr>
        <w:t>Review confidentiality and privilege rules.</w:t>
      </w:r>
    </w:p>
    <w:p>
      <w:pPr>
        <w:spacing w:before="360" w:after="200"/>
      </w:pPr>
      <w:r>
        <w:rPr>
          <w:rFonts w:ascii="Times New Roman" w:hAnsi="Times New Roman"/>
          <w:b/>
          <w:sz w:val="24"/>
          <w:u w:val="single"/>
        </w:rPr>
        <w:t>C. Training Materials</w:t>
      </w:r>
    </w:p>
    <w:p>
      <w:pPr>
        <w:spacing w:after="120"/>
      </w:pPr>
      <w:r>
        <w:rPr>
          <w:rFonts w:ascii="Times New Roman" w:hAnsi="Times New Roman"/>
          <w:sz w:val="24"/>
        </w:rPr>
        <w:t>Decks, reference guides, and recorded sessions live in a dedicated SharePoint folder Legal maintains. Legal updates them whenever procedures, systems, or forms change.</w:t>
      </w:r>
    </w:p>
    <w:p>
      <w:pPr>
        <w:spacing w:before="360" w:after="200"/>
      </w:pPr>
      <w:r>
        <w:rPr>
          <w:rFonts w:ascii="Times New Roman" w:hAnsi="Times New Roman"/>
          <w:b/>
          <w:sz w:val="24"/>
          <w:u w:val="single"/>
        </w:rPr>
        <w:t>D. Legal Updates</w:t>
      </w:r>
    </w:p>
    <w:p>
      <w:pPr>
        <w:spacing w:after="120"/>
      </w:pPr>
      <w:r>
        <w:rPr>
          <w:rFonts w:ascii="Times New Roman" w:hAnsi="Times New Roman"/>
          <w:sz w:val="24"/>
        </w:rPr>
        <w:t>Legal watches for legal and market developments and shares updates with internal teams. Updates go out by email memo, training sessions, or at standing interdepartmental meetings.</w:t>
      </w:r>
    </w:p>
    <w:p>
      <w:pPr>
        <w:spacing w:before="360" w:after="200"/>
      </w:pPr>
      <w:r>
        <w:rPr>
          <w:rFonts w:ascii="Times New Roman" w:hAnsi="Times New Roman"/>
          <w:b/>
          <w:sz w:val="24"/>
          <w:u w:val="single"/>
        </w:rPr>
        <w:t>E. Continuous Improvement</w:t>
      </w:r>
    </w:p>
    <w:p>
      <w:pPr>
        <w:spacing w:after="120"/>
      </w:pPr>
      <w:r>
        <w:rPr>
          <w:rFonts w:ascii="Times New Roman" w:hAnsi="Times New Roman"/>
          <w:sz w:val="24"/>
        </w:rPr>
        <w:t>Legal regularly reviews:</w:t>
      </w:r>
    </w:p>
    <w:p>
      <w:pPr>
        <w:pStyle w:val="ListBullet"/>
      </w:pPr>
      <w:r>
        <w:rPr>
          <w:rFonts w:ascii="Times New Roman" w:hAnsi="Times New Roman"/>
          <w:sz w:val="24"/>
        </w:rPr>
        <w:t>Leasing processes.</w:t>
      </w:r>
    </w:p>
    <w:p>
      <w:pPr>
        <w:pStyle w:val="ListBullet"/>
      </w:pPr>
      <w:r>
        <w:rPr>
          <w:rFonts w:ascii="Times New Roman" w:hAnsi="Times New Roman"/>
          <w:sz w:val="24"/>
        </w:rPr>
        <w:t>Litigation outcomes.</w:t>
      </w:r>
    </w:p>
    <w:p>
      <w:pPr>
        <w:pStyle w:val="ListBullet"/>
      </w:pPr>
      <w:r>
        <w:rPr>
          <w:rFonts w:ascii="Times New Roman" w:hAnsi="Times New Roman"/>
          <w:sz w:val="24"/>
        </w:rPr>
        <w:t>Recurring issues.</w:t>
      </w:r>
    </w:p>
    <w:p>
      <w:pPr>
        <w:spacing w:after="120"/>
      </w:pPr>
      <w:r>
        <w:rPr>
          <w:rFonts w:ascii="Times New Roman" w:hAnsi="Times New Roman"/>
          <w:sz w:val="24"/>
        </w:rPr>
        <w:t>To find chances to:</w:t>
      </w:r>
    </w:p>
    <w:p>
      <w:pPr>
        <w:pStyle w:val="ListBullet"/>
      </w:pPr>
      <w:r>
        <w:rPr>
          <w:rFonts w:ascii="Times New Roman" w:hAnsi="Times New Roman"/>
          <w:sz w:val="24"/>
        </w:rPr>
        <w:t>Improve standard lease forms.</w:t>
      </w:r>
    </w:p>
    <w:p>
      <w:pPr>
        <w:pStyle w:val="ListBullet"/>
      </w:pPr>
      <w:r>
        <w:rPr>
          <w:rFonts w:ascii="Times New Roman" w:hAnsi="Times New Roman"/>
          <w:sz w:val="24"/>
        </w:rPr>
        <w:t>Streamline workflows.</w:t>
      </w:r>
    </w:p>
    <w:p>
      <w:pPr>
        <w:pStyle w:val="ListBullet"/>
      </w:pPr>
      <w:r>
        <w:rPr>
          <w:rFonts w:ascii="Times New Roman" w:hAnsi="Times New Roman"/>
          <w:sz w:val="24"/>
        </w:rPr>
        <w:t>Reduce legal exposure.</w:t>
      </w:r>
    </w:p>
    <w:p>
      <w:pPr>
        <w:spacing w:after="120"/>
      </w:pPr>
      <w:r>
        <w:rPr>
          <w:rFonts w:ascii="Times New Roman" w:hAnsi="Times New Roman"/>
          <w:sz w:val="24"/>
        </w:rPr>
        <w:t>After big matters close, Legal runs a post-mortem to capture lessons. We work those lessons into updated procedures, training, and standard forms.</w:t>
      </w:r>
    </w:p>
    <w:p>
      <w:r>
        <w:br w:type="page"/>
      </w:r>
    </w:p>
    <w:p>
      <w:pPr>
        <w:spacing w:before="480" w:after="240"/>
      </w:pPr>
      <w:r>
        <w:rPr>
          <w:rFonts w:ascii="Times New Roman" w:hAnsi="Times New Roman"/>
          <w:b/>
          <w:sz w:val="24"/>
        </w:rPr>
        <w:t>12. TECHNOLOGY AND WORKFLOW</w:t>
      </w:r>
    </w:p>
    <w:p>
      <w:pPr>
        <w:spacing w:after="120"/>
      </w:pPr>
      <w:r>
        <w:rPr>
          <w:rFonts w:ascii="Times New Roman" w:hAnsi="Times New Roman"/>
          <w:sz w:val="24"/>
        </w:rPr>
        <w:t>Legal uses technology to work faster, stay organized, and scale as the Company grows.</w:t>
      </w:r>
    </w:p>
    <w:p>
      <w:pPr>
        <w:spacing w:before="360" w:after="200"/>
      </w:pPr>
      <w:r>
        <w:rPr>
          <w:rFonts w:ascii="Times New Roman" w:hAnsi="Times New Roman"/>
          <w:b/>
          <w:sz w:val="24"/>
          <w:u w:val="single"/>
        </w:rPr>
        <w:t>A. Systems We Use</w:t>
      </w:r>
    </w:p>
    <w:p>
      <w:pPr>
        <w:spacing w:after="120"/>
      </w:pPr>
      <w:r>
        <w:rPr>
          <w:rFonts w:ascii="Times New Roman" w:hAnsi="Times New Roman"/>
          <w:sz w:val="24"/>
        </w:rPr>
        <w:t>Current tools: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fill="D9E2F3" w:val="clear"/>
          </w:tcPr>
          <w:p>
            <w:pPr>
              <w:jc w:val="center"/>
            </w:pPr>
            <w:r/>
            <w:r>
              <w:rPr>
                <w:rFonts w:ascii="Times New Roman" w:hAnsi="Times New Roman"/>
                <w:b/>
                <w:sz w:val="20"/>
              </w:rPr>
              <w:t>System</w:t>
            </w:r>
          </w:p>
        </w:tc>
        <w:tc>
          <w:tcPr>
            <w:tcW w:type="dxa" w:w="3600"/>
            <w:shd w:fill="D9E2F3" w:val="clear"/>
          </w:tcPr>
          <w:p>
            <w:pPr>
              <w:jc w:val="center"/>
            </w:pPr>
            <w:r/>
            <w:r>
              <w:rPr>
                <w:rFonts w:ascii="Times New Roman" w:hAnsi="Times New Roman"/>
                <w:b/>
                <w:sz w:val="20"/>
              </w:rPr>
              <w:t>What It Does</w:t>
            </w:r>
          </w:p>
        </w:tc>
        <w:tc>
          <w:tcPr>
            <w:tcW w:type="dxa" w:w="1872"/>
            <w:shd w:fill="D9E2F3" w:val="clear"/>
          </w:tcPr>
          <w:p>
            <w:pPr>
              <w:jc w:val="center"/>
            </w:pPr>
            <w:r/>
            <w:r>
              <w:rPr>
                <w:rFonts w:ascii="Times New Roman" w:hAnsi="Times New Roman"/>
                <w:b/>
                <w:sz w:val="20"/>
              </w:rPr>
              <w:t>Owner</w:t>
            </w:r>
          </w:p>
        </w:tc>
        <w:tc>
          <w:tcPr>
            <w:tcW w:type="dxa" w:w="2016"/>
            <w:shd w:fill="D9E2F3" w:val="clear"/>
          </w:tcPr>
          <w:p>
            <w:pPr>
              <w:jc w:val="center"/>
            </w:pPr>
            <w:r/>
            <w:r>
              <w:rPr>
                <w:rFonts w:ascii="Times New Roman" w:hAnsi="Times New Roman"/>
                <w:b/>
                <w:sz w:val="20"/>
              </w:rPr>
              <w:t>Users</w:t>
            </w:r>
          </w:p>
        </w:tc>
      </w:tr>
      <w:tr>
        <w:tc>
          <w:tcPr>
            <w:tcW w:type="dxa" w:w="1872"/>
          </w:tcPr>
          <w:p>
            <w:r/>
            <w:r>
              <w:rPr>
                <w:rFonts w:ascii="Times New Roman" w:hAnsi="Times New Roman"/>
                <w:sz w:val="20"/>
              </w:rPr>
              <w:t>Salesforce</w:t>
            </w:r>
          </w:p>
        </w:tc>
        <w:tc>
          <w:tcPr>
            <w:tcW w:type="dxa" w:w="3600"/>
          </w:tcPr>
          <w:p>
            <w:r/>
            <w:r>
              <w:rPr>
                <w:rFonts w:ascii="Times New Roman" w:hAnsi="Times New Roman"/>
                <w:sz w:val="20"/>
              </w:rPr>
              <w:t>Lease intake, workflow, pipeline dashboard</w:t>
            </w:r>
          </w:p>
        </w:tc>
        <w:tc>
          <w:tcPr>
            <w:tcW w:type="dxa" w:w="1872"/>
          </w:tcPr>
          <w:p>
            <w:r/>
            <w:r>
              <w:rPr>
                <w:rFonts w:ascii="Times New Roman" w:hAnsi="Times New Roman"/>
                <w:sz w:val="20"/>
              </w:rPr>
              <w:t>Legal / Asset Mgmt</w:t>
            </w:r>
          </w:p>
        </w:tc>
        <w:tc>
          <w:tcPr>
            <w:tcW w:type="dxa" w:w="2016"/>
          </w:tcPr>
          <w:p>
            <w:r/>
            <w:r>
              <w:rPr>
                <w:rFonts w:ascii="Times New Roman" w:hAnsi="Times New Roman"/>
                <w:sz w:val="20"/>
              </w:rPr>
              <w:t>Legal, Asset Mgmt, Executive</w:t>
            </w:r>
          </w:p>
        </w:tc>
      </w:tr>
      <w:tr>
        <w:tc>
          <w:tcPr>
            <w:tcW w:type="dxa" w:w="1872"/>
          </w:tcPr>
          <w:p>
            <w:r/>
            <w:r>
              <w:rPr>
                <w:rFonts w:ascii="Times New Roman" w:hAnsi="Times New Roman"/>
                <w:sz w:val="20"/>
              </w:rPr>
              <w:t>SharePoint</w:t>
            </w:r>
          </w:p>
        </w:tc>
        <w:tc>
          <w:tcPr>
            <w:tcW w:type="dxa" w:w="3600"/>
          </w:tcPr>
          <w:p>
            <w:r/>
            <w:r>
              <w:rPr>
                <w:rFonts w:ascii="Times New Roman" w:hAnsi="Times New Roman"/>
                <w:sz w:val="20"/>
              </w:rPr>
              <w:t>Document collaboration, version control, storage</w:t>
            </w:r>
          </w:p>
        </w:tc>
        <w:tc>
          <w:tcPr>
            <w:tcW w:type="dxa" w:w="1872"/>
          </w:tcPr>
          <w:p>
            <w:r/>
            <w:r>
              <w:rPr>
                <w:rFonts w:ascii="Times New Roman" w:hAnsi="Times New Roman"/>
                <w:sz w:val="20"/>
              </w:rPr>
              <w:t>Legal / IT</w:t>
            </w:r>
          </w:p>
        </w:tc>
        <w:tc>
          <w:tcPr>
            <w:tcW w:type="dxa" w:w="2016"/>
          </w:tcPr>
          <w:p>
            <w:r/>
            <w:r>
              <w:rPr>
                <w:rFonts w:ascii="Times New Roman" w:hAnsi="Times New Roman"/>
                <w:sz w:val="20"/>
              </w:rPr>
              <w:t>Legal, Asset Mgmt, Finance</w:t>
            </w:r>
          </w:p>
        </w:tc>
      </w:tr>
      <w:tr>
        <w:tc>
          <w:tcPr>
            <w:tcW w:type="dxa" w:w="1872"/>
          </w:tcPr>
          <w:p>
            <w:r/>
            <w:r>
              <w:rPr>
                <w:rFonts w:ascii="Times New Roman" w:hAnsi="Times New Roman"/>
                <w:sz w:val="20"/>
              </w:rPr>
              <w:t>ShareFile</w:t>
            </w:r>
          </w:p>
        </w:tc>
        <w:tc>
          <w:tcPr>
            <w:tcW w:type="dxa" w:w="3600"/>
          </w:tcPr>
          <w:p>
            <w:r/>
            <w:r>
              <w:rPr>
                <w:rFonts w:ascii="Times New Roman" w:hAnsi="Times New Roman"/>
                <w:sz w:val="20"/>
              </w:rPr>
              <w:t>Executed document storage and external sharing</w:t>
            </w:r>
          </w:p>
        </w:tc>
        <w:tc>
          <w:tcPr>
            <w:tcW w:type="dxa" w:w="1872"/>
          </w:tcPr>
          <w:p>
            <w:r/>
            <w:r>
              <w:rPr>
                <w:rFonts w:ascii="Times New Roman" w:hAnsi="Times New Roman"/>
                <w:sz w:val="20"/>
              </w:rPr>
              <w:t>Asset Mgmt</w:t>
            </w:r>
          </w:p>
        </w:tc>
        <w:tc>
          <w:tcPr>
            <w:tcW w:type="dxa" w:w="2016"/>
          </w:tcPr>
          <w:p>
            <w:r/>
            <w:r>
              <w:rPr>
                <w:rFonts w:ascii="Times New Roman" w:hAnsi="Times New Roman"/>
                <w:sz w:val="20"/>
              </w:rPr>
              <w:t>Legal, Asset Mgmt</w:t>
            </w:r>
          </w:p>
        </w:tc>
      </w:tr>
      <w:tr>
        <w:tc>
          <w:tcPr>
            <w:tcW w:type="dxa" w:w="1872"/>
          </w:tcPr>
          <w:p>
            <w:r/>
            <w:r>
              <w:rPr>
                <w:rFonts w:ascii="Times New Roman" w:hAnsi="Times New Roman"/>
                <w:sz w:val="20"/>
              </w:rPr>
              <w:t>Legal Risk Tracker</w:t>
            </w:r>
          </w:p>
        </w:tc>
        <w:tc>
          <w:tcPr>
            <w:tcW w:type="dxa" w:w="3600"/>
          </w:tcPr>
          <w:p>
            <w:r/>
            <w:r>
              <w:rPr>
                <w:rFonts w:ascii="Times New Roman" w:hAnsi="Times New Roman"/>
                <w:sz w:val="20"/>
              </w:rPr>
              <w:t>Litigation and risk monitoring, reporting</w:t>
            </w:r>
          </w:p>
        </w:tc>
        <w:tc>
          <w:tcPr>
            <w:tcW w:type="dxa" w:w="1872"/>
          </w:tcPr>
          <w:p>
            <w:r/>
            <w:r>
              <w:rPr>
                <w:rFonts w:ascii="Times New Roman" w:hAnsi="Times New Roman"/>
                <w:sz w:val="20"/>
              </w:rPr>
              <w:t>Legal</w:t>
            </w:r>
          </w:p>
        </w:tc>
        <w:tc>
          <w:tcPr>
            <w:tcW w:type="dxa" w:w="2016"/>
          </w:tcPr>
          <w:p>
            <w:r/>
            <w:r>
              <w:rPr>
                <w:rFonts w:ascii="Times New Roman" w:hAnsi="Times New Roman"/>
                <w:sz w:val="20"/>
              </w:rPr>
              <w:t>Legal, Executive, CFO</w:t>
            </w:r>
          </w:p>
        </w:tc>
      </w:tr>
    </w:tbl>
    <w:p/>
    <w:p>
      <w:pPr>
        <w:spacing w:after="120"/>
      </w:pPr>
      <w:r>
        <w:rPr>
          <w:rFonts w:ascii="Times New Roman" w:hAnsi="Times New Roman"/>
          <w:sz w:val="24"/>
        </w:rPr>
        <w:t>Access is role-based. Legal works with IT to keep access controls right.</w:t>
      </w:r>
    </w:p>
    <w:p>
      <w:pPr>
        <w:spacing w:before="360" w:after="200"/>
      </w:pPr>
      <w:r>
        <w:rPr>
          <w:rFonts w:ascii="Times New Roman" w:hAnsi="Times New Roman"/>
          <w:b/>
          <w:sz w:val="24"/>
          <w:u w:val="single"/>
        </w:rPr>
        <w:t>B. System Integration</w:t>
      </w:r>
    </w:p>
    <w:p>
      <w:pPr>
        <w:spacing w:after="120"/>
      </w:pPr>
      <w:r>
        <w:rPr>
          <w:rFonts w:ascii="Times New Roman" w:hAnsi="Times New Roman"/>
          <w:sz w:val="24"/>
        </w:rPr>
        <w:t>Legal aims to:</w:t>
      </w:r>
    </w:p>
    <w:p>
      <w:pPr>
        <w:pStyle w:val="ListBullet"/>
      </w:pPr>
      <w:r>
        <w:rPr>
          <w:rFonts w:ascii="Times New Roman" w:hAnsi="Times New Roman"/>
          <w:sz w:val="24"/>
        </w:rPr>
        <w:t>Tie legal workflows to operational systems.</w:t>
      </w:r>
    </w:p>
    <w:p>
      <w:pPr>
        <w:pStyle w:val="ListBullet"/>
      </w:pPr>
      <w:r>
        <w:rPr>
          <w:rFonts w:ascii="Times New Roman" w:hAnsi="Times New Roman"/>
          <w:sz w:val="24"/>
        </w:rPr>
        <w:t>Capture data consistently across tools.</w:t>
      </w:r>
    </w:p>
    <w:p>
      <w:pPr>
        <w:pStyle w:val="ListBullet"/>
      </w:pPr>
      <w:r>
        <w:rPr>
          <w:rFonts w:ascii="Times New Roman" w:hAnsi="Times New Roman"/>
          <w:sz w:val="24"/>
        </w:rPr>
        <w:t>Make information available to the people who need it.</w:t>
      </w:r>
    </w:p>
    <w:p>
      <w:pPr>
        <w:pStyle w:val="ListBullet"/>
      </w:pPr>
      <w:r>
        <w:rPr>
          <w:rFonts w:ascii="Times New Roman" w:hAnsi="Times New Roman"/>
          <w:sz w:val="24"/>
        </w:rPr>
        <w:t>Cut duplicate data entry where systems can integrate.</w:t>
      </w:r>
    </w:p>
    <w:p>
      <w:pPr>
        <w:spacing w:after="120"/>
      </w:pPr>
      <w:r>
        <w:rPr>
          <w:rFonts w:ascii="Times New Roman" w:hAnsi="Times New Roman"/>
          <w:sz w:val="24"/>
        </w:rPr>
        <w:t>Legal works with IT and Finance so legal data (lease milestones, litigation reserves, entity records) shows up accurately in the Company's financial and operational systems.</w:t>
      </w:r>
    </w:p>
    <w:p>
      <w:pPr>
        <w:spacing w:before="360" w:after="200"/>
      </w:pPr>
      <w:r>
        <w:rPr>
          <w:rFonts w:ascii="Times New Roman" w:hAnsi="Times New Roman"/>
          <w:b/>
          <w:sz w:val="24"/>
          <w:u w:val="single"/>
        </w:rPr>
        <w:t>C. Picking New Tools</w:t>
      </w:r>
    </w:p>
    <w:p>
      <w:pPr>
        <w:spacing w:after="120"/>
      </w:pPr>
      <w:r>
        <w:rPr>
          <w:rFonts w:ascii="Times New Roman" w:hAnsi="Times New Roman"/>
          <w:sz w:val="24"/>
        </w:rPr>
        <w:t>Legal may look at new tools to improve:</w:t>
      </w:r>
    </w:p>
    <w:p>
      <w:pPr>
        <w:pStyle w:val="ListBullet"/>
      </w:pPr>
      <w:r>
        <w:rPr>
          <w:rFonts w:ascii="Times New Roman" w:hAnsi="Times New Roman"/>
          <w:sz w:val="24"/>
        </w:rPr>
        <w:t>Lease data extraction and analysis.</w:t>
      </w:r>
    </w:p>
    <w:p>
      <w:pPr>
        <w:pStyle w:val="ListBullet"/>
      </w:pPr>
      <w:r>
        <w:rPr>
          <w:rFonts w:ascii="Times New Roman" w:hAnsi="Times New Roman"/>
          <w:sz w:val="24"/>
        </w:rPr>
        <w:t>Document automation.</w:t>
      </w:r>
    </w:p>
    <w:p>
      <w:pPr>
        <w:pStyle w:val="ListBullet"/>
      </w:pPr>
      <w:r>
        <w:rPr>
          <w:rFonts w:ascii="Times New Roman" w:hAnsi="Times New Roman"/>
          <w:sz w:val="24"/>
        </w:rPr>
        <w:t>Risk tracking and reporting.</w:t>
      </w:r>
    </w:p>
    <w:p>
      <w:pPr>
        <w:pStyle w:val="ListBullet"/>
      </w:pPr>
      <w:r>
        <w:rPr>
          <w:rFonts w:ascii="Times New Roman" w:hAnsi="Times New Roman"/>
          <w:sz w:val="24"/>
        </w:rPr>
        <w:t>Workflow automation.</w:t>
      </w:r>
    </w:p>
    <w:p>
      <w:pPr>
        <w:spacing w:after="120"/>
      </w:pPr>
      <w:r>
        <w:rPr>
          <w:rFonts w:ascii="Times New Roman" w:hAnsi="Times New Roman"/>
          <w:sz w:val="24"/>
        </w:rPr>
        <w:t>When evaluating, consider:</w:t>
      </w:r>
    </w:p>
    <w:p>
      <w:pPr>
        <w:pStyle w:val="ListBullet"/>
      </w:pPr>
      <w:r>
        <w:rPr>
          <w:rFonts w:ascii="Times New Roman" w:hAnsi="Times New Roman"/>
          <w:sz w:val="24"/>
        </w:rPr>
        <w:t>Can it integrate with Salesforce and SharePoint?</w:t>
      </w:r>
    </w:p>
    <w:p>
      <w:pPr>
        <w:pStyle w:val="ListBullet"/>
      </w:pPr>
      <w:r>
        <w:rPr>
          <w:rFonts w:ascii="Times New Roman" w:hAnsi="Times New Roman"/>
          <w:sz w:val="24"/>
        </w:rPr>
        <w:t>Does it meet our data security and access standards?</w:t>
      </w:r>
    </w:p>
    <w:p>
      <w:pPr>
        <w:pStyle w:val="ListBullet"/>
      </w:pPr>
      <w:r>
        <w:rPr>
          <w:rFonts w:ascii="Times New Roman" w:hAnsi="Times New Roman"/>
          <w:sz w:val="24"/>
        </w:rPr>
        <w:t>Does the benefit justify the cost?</w:t>
      </w:r>
    </w:p>
    <w:p>
      <w:pPr>
        <w:pStyle w:val="ListBullet"/>
      </w:pPr>
      <w:r>
        <w:rPr>
          <w:rFonts w:ascii="Times New Roman" w:hAnsi="Times New Roman"/>
          <w:sz w:val="24"/>
        </w:rPr>
        <w:t>How hard is it to adopt and train on?</w:t>
      </w:r>
    </w:p>
    <w:p>
      <w:pPr>
        <w:pStyle w:val="ListBullet"/>
      </w:pPr>
      <w:r>
        <w:rPr>
          <w:rFonts w:ascii="Times New Roman" w:hAnsi="Times New Roman"/>
          <w:sz w:val="24"/>
        </w:rPr>
        <w:t>Is the vendor reliable and well-supported?</w:t>
      </w:r>
    </w:p>
    <w:p>
      <w:pPr>
        <w:spacing w:after="120"/>
      </w:pPr>
      <w:r>
        <w:rPr>
          <w:rFonts w:ascii="Times New Roman" w:hAnsi="Times New Roman"/>
          <w:sz w:val="24"/>
        </w:rPr>
        <w:t>Coordinate with IT and Finance before buying or rolling out anything new. Material tech purchases go through the Company's standard procurement process.</w:t>
      </w:r>
    </w:p>
    <w:p>
      <w:pPr>
        <w:spacing w:before="360" w:after="200"/>
      </w:pPr>
      <w:r>
        <w:rPr>
          <w:rFonts w:ascii="Times New Roman" w:hAnsi="Times New Roman"/>
          <w:b/>
          <w:sz w:val="24"/>
          <w:u w:val="single"/>
        </w:rPr>
        <w:t>D. Keeping Data Clean</w:t>
      </w:r>
    </w:p>
    <w:p>
      <w:pPr>
        <w:spacing w:after="120"/>
      </w:pPr>
      <w:r>
        <w:rPr>
          <w:rFonts w:ascii="Times New Roman" w:hAnsi="Times New Roman"/>
          <w:sz w:val="24"/>
        </w:rPr>
        <w:t>Keeping data consistent across systems matters. Legal:</w:t>
      </w:r>
    </w:p>
    <w:p>
      <w:pPr>
        <w:pStyle w:val="ListBullet"/>
      </w:pPr>
      <w:r>
        <w:rPr>
          <w:rFonts w:ascii="Times New Roman" w:hAnsi="Times New Roman"/>
          <w:sz w:val="24"/>
        </w:rPr>
        <w:t>Audits data in Salesforce and SharePoint periodically.</w:t>
      </w:r>
    </w:p>
    <w:p>
      <w:pPr>
        <w:pStyle w:val="ListBullet"/>
      </w:pPr>
      <w:r>
        <w:rPr>
          <w:rFonts w:ascii="Times New Roman" w:hAnsi="Times New Roman"/>
          <w:sz w:val="24"/>
        </w:rPr>
        <w:t>Makes sure lease milestones, entity records, and litigation data stay current.</w:t>
      </w:r>
    </w:p>
    <w:p>
      <w:pPr>
        <w:pStyle w:val="ListBullet"/>
      </w:pPr>
      <w:r>
        <w:rPr>
          <w:rFonts w:ascii="Times New Roman" w:hAnsi="Times New Roman"/>
          <w:sz w:val="24"/>
        </w:rPr>
        <w:t>Reports data problems to the system owner for fixing.</w:t>
      </w:r>
    </w:p>
    <w:p>
      <w:pPr>
        <w:pStyle w:val="ListBullet"/>
      </w:pPr>
      <w:r>
        <w:rPr>
          <w:rFonts w:ascii="Times New Roman" w:hAnsi="Times New Roman"/>
          <w:sz w:val="24"/>
        </w:rPr>
        <w:t>Keeps naming and folder structures consistent everywhere.</w:t>
      </w:r>
    </w:p>
    <w:p>
      <w:pPr>
        <w:spacing w:before="360" w:after="200"/>
      </w:pPr>
      <w:r>
        <w:rPr>
          <w:rFonts w:ascii="Times New Roman" w:hAnsi="Times New Roman"/>
          <w:b/>
          <w:sz w:val="24"/>
          <w:u w:val="single"/>
        </w:rPr>
        <w:t>E. Change Management</w:t>
      </w:r>
    </w:p>
    <w:p>
      <w:pPr>
        <w:spacing w:after="120"/>
      </w:pPr>
      <w:r>
        <w:rPr>
          <w:rFonts w:ascii="Times New Roman" w:hAnsi="Times New Roman"/>
          <w:sz w:val="24"/>
        </w:rPr>
        <w:t>If a system upgrade, migration, or workflow change will affect Legal, coordinate with Legal first. Legal helps test and train before the change goes live so legal operations don't get disrupted.</w:t>
      </w:r>
    </w:p>
    <w:p>
      <w:r>
        <w:br w:type="page"/>
      </w:r>
    </w:p>
    <w:p>
      <w:pPr>
        <w:spacing w:before="480" w:after="240"/>
      </w:pPr>
      <w:r>
        <w:rPr>
          <w:rFonts w:ascii="Times New Roman" w:hAnsi="Times New Roman"/>
          <w:b/>
          <w:sz w:val="24"/>
        </w:rPr>
        <w:t>13. UPDATING THIS MANUAL</w:t>
      </w:r>
    </w:p>
    <w:p>
      <w:pPr>
        <w:spacing w:after="120"/>
      </w:pPr>
      <w:r>
        <w:rPr>
          <w:rFonts w:ascii="Times New Roman" w:hAnsi="Times New Roman"/>
          <w:sz w:val="24"/>
        </w:rPr>
        <w:t>This Manual is a living document. Expect updates as operations and laws change.</w:t>
      </w:r>
    </w:p>
    <w:p>
      <w:pPr>
        <w:spacing w:before="360" w:after="200"/>
      </w:pPr>
      <w:r>
        <w:rPr>
          <w:rFonts w:ascii="Times New Roman" w:hAnsi="Times New Roman"/>
          <w:b/>
          <w:sz w:val="24"/>
          <w:u w:val="single"/>
        </w:rPr>
        <w:t>A. Annual Review</w:t>
      </w:r>
    </w:p>
    <w:p>
      <w:pPr>
        <w:spacing w:after="120"/>
      </w:pPr>
      <w:r>
        <w:rPr>
          <w:rFonts w:ascii="Times New Roman" w:hAnsi="Times New Roman"/>
          <w:sz w:val="24"/>
        </w:rPr>
        <w:t>Legal reviews the Manual once a year, on the Company's fiscal year. The review checks for alignment with:</w:t>
      </w:r>
    </w:p>
    <w:p>
      <w:pPr>
        <w:pStyle w:val="ListBullet"/>
      </w:pPr>
      <w:r>
        <w:rPr>
          <w:rFonts w:ascii="Times New Roman" w:hAnsi="Times New Roman"/>
          <w:sz w:val="24"/>
        </w:rPr>
        <w:t>Company structure or strategy changes.</w:t>
      </w:r>
    </w:p>
    <w:p>
      <w:pPr>
        <w:pStyle w:val="ListBullet"/>
      </w:pPr>
      <w:r>
        <w:rPr>
          <w:rFonts w:ascii="Times New Roman" w:hAnsi="Times New Roman"/>
          <w:sz w:val="24"/>
        </w:rPr>
        <w:t>New systems or upgrades.</w:t>
      </w:r>
    </w:p>
    <w:p>
      <w:pPr>
        <w:pStyle w:val="ListBullet"/>
      </w:pPr>
      <w:r>
        <w:rPr>
          <w:rFonts w:ascii="Times New Roman" w:hAnsi="Times New Roman"/>
          <w:sz w:val="24"/>
        </w:rPr>
        <w:t>Regulatory developments.</w:t>
      </w:r>
    </w:p>
    <w:p>
      <w:pPr>
        <w:pStyle w:val="ListBullet"/>
      </w:pPr>
      <w:r>
        <w:rPr>
          <w:rFonts w:ascii="Times New Roman" w:hAnsi="Times New Roman"/>
          <w:sz w:val="24"/>
        </w:rPr>
        <w:t>Operational needs.</w:t>
      </w:r>
    </w:p>
    <w:p>
      <w:pPr>
        <w:spacing w:after="120"/>
      </w:pPr>
      <w:r>
        <w:rPr>
          <w:rFonts w:ascii="Times New Roman" w:hAnsi="Times New Roman"/>
          <w:sz w:val="24"/>
        </w:rPr>
        <w:t>Finish the annual review in Q1 of each fiscal year.</w:t>
      </w:r>
    </w:p>
    <w:p>
      <w:pPr>
        <w:spacing w:before="360" w:after="200"/>
      </w:pPr>
      <w:r>
        <w:rPr>
          <w:rFonts w:ascii="Times New Roman" w:hAnsi="Times New Roman"/>
          <w:b/>
          <w:sz w:val="24"/>
          <w:u w:val="single"/>
        </w:rPr>
        <w:t>B. Updates</w:t>
      </w:r>
    </w:p>
    <w:p>
      <w:pPr>
        <w:spacing w:after="120"/>
      </w:pPr>
      <w:r>
        <w:rPr>
          <w:rFonts w:ascii="Times New Roman" w:hAnsi="Times New Roman"/>
          <w:sz w:val="24"/>
        </w:rPr>
        <w:t>Legal updates the Manual as needed. The GC has to approve material changes, and Legal tells affected teams.</w:t>
      </w:r>
    </w:p>
    <w:p>
      <w:pPr>
        <w:spacing w:after="120"/>
      </w:pPr>
      <w:r>
        <w:rPr>
          <w:rFonts w:ascii="Times New Roman" w:hAnsi="Times New Roman"/>
          <w:sz w:val="24"/>
        </w:rPr>
        <w:t>Version control rules:</w:t>
      </w:r>
    </w:p>
    <w:p>
      <w:pPr>
        <w:pStyle w:val="ListBullet"/>
      </w:pPr>
      <w:r>
        <w:rPr>
          <w:rFonts w:ascii="Times New Roman" w:hAnsi="Times New Roman"/>
          <w:sz w:val="24"/>
        </w:rPr>
        <w:t>Every revision has a version number and effective date.</w:t>
      </w:r>
    </w:p>
    <w:p>
      <w:pPr>
        <w:pStyle w:val="ListBullet"/>
      </w:pPr>
      <w:r>
        <w:rPr>
          <w:rFonts w:ascii="Times New Roman" w:hAnsi="Times New Roman"/>
          <w:sz w:val="24"/>
        </w:rPr>
        <w:t>A change log tracks all material updates (below).</w:t>
      </w:r>
    </w:p>
    <w:p>
      <w:pPr>
        <w:pStyle w:val="ListBullet"/>
      </w:pPr>
      <w:r>
        <w:rPr>
          <w:rFonts w:ascii="Times New Roman" w:hAnsi="Times New Roman"/>
          <w:sz w:val="24"/>
        </w:rPr>
        <w:t>The current version lives in a designated SharePoint location available to Legal staff.</w:t>
      </w:r>
    </w:p>
    <w:p>
      <w:pPr>
        <w:pStyle w:val="ListBullet"/>
      </w:pPr>
      <w:r>
        <w:rPr>
          <w:rFonts w:ascii="Times New Roman" w:hAnsi="Times New Roman"/>
          <w:sz w:val="24"/>
        </w:rPr>
        <w:t>Prior versions are archived for reference.</w:t>
      </w:r>
    </w:p>
    <w:p>
      <w:pPr>
        <w:spacing w:before="360" w:after="200"/>
      </w:pPr>
      <w:r>
        <w:rPr>
          <w:rFonts w:ascii="Times New Roman" w:hAnsi="Times New Roman"/>
          <w:b/>
          <w:sz w:val="24"/>
          <w:u w:val="single"/>
        </w:rPr>
        <w:t>C. Change Log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296"/>
            <w:shd w:fill="D9E2F3" w:val="clear"/>
          </w:tcPr>
          <w:p>
            <w:pPr>
              <w:jc w:val="center"/>
            </w:pPr>
            <w:r/>
            <w:r>
              <w:rPr>
                <w:rFonts w:ascii="Times New Roman" w:hAnsi="Times New Roman"/>
                <w:b/>
                <w:sz w:val="20"/>
              </w:rPr>
              <w:t>Version</w:t>
            </w:r>
          </w:p>
        </w:tc>
        <w:tc>
          <w:tcPr>
            <w:tcW w:type="dxa" w:w="1584"/>
            <w:shd w:fill="D9E2F3" w:val="clear"/>
          </w:tcPr>
          <w:p>
            <w:pPr>
              <w:jc w:val="center"/>
            </w:pPr>
            <w:r/>
            <w:r>
              <w:rPr>
                <w:rFonts w:ascii="Times New Roman" w:hAnsi="Times New Roman"/>
                <w:b/>
                <w:sz w:val="20"/>
              </w:rPr>
              <w:t>Date</w:t>
            </w:r>
          </w:p>
        </w:tc>
        <w:tc>
          <w:tcPr>
            <w:tcW w:type="dxa" w:w="4752"/>
            <w:shd w:fill="D9E2F3" w:val="clear"/>
          </w:tcPr>
          <w:p>
            <w:pPr>
              <w:jc w:val="center"/>
            </w:pPr>
            <w:r/>
            <w:r>
              <w:rPr>
                <w:rFonts w:ascii="Times New Roman" w:hAnsi="Times New Roman"/>
                <w:b/>
                <w:sz w:val="20"/>
              </w:rPr>
              <w:t>Change</w:t>
            </w:r>
          </w:p>
        </w:tc>
        <w:tc>
          <w:tcPr>
            <w:tcW w:type="dxa" w:w="1728"/>
            <w:shd w:fill="D9E2F3" w:val="clear"/>
          </w:tcPr>
          <w:p>
            <w:pPr>
              <w:jc w:val="center"/>
            </w:pPr>
            <w:r/>
            <w:r>
              <w:rPr>
                <w:rFonts w:ascii="Times New Roman" w:hAnsi="Times New Roman"/>
                <w:b/>
                <w:sz w:val="20"/>
              </w:rPr>
              <w:t>Approved By</w:t>
            </w:r>
          </w:p>
        </w:tc>
      </w:tr>
      <w:tr>
        <w:tc>
          <w:tcPr>
            <w:tcW w:type="dxa" w:w="1296"/>
          </w:tcPr>
          <w:p>
            <w:r/>
            <w:r>
              <w:rPr>
                <w:rFonts w:ascii="Times New Roman" w:hAnsi="Times New Roman"/>
                <w:sz w:val="20"/>
              </w:rPr>
              <w:t>1.0</w:t>
            </w:r>
          </w:p>
        </w:tc>
        <w:tc>
          <w:tcPr>
            <w:tcW w:type="dxa" w:w="1584"/>
          </w:tcPr>
          <w:p>
            <w:r/>
            <w:r>
              <w:rPr>
                <w:rFonts w:ascii="Times New Roman" w:hAnsi="Times New Roman"/>
                <w:sz w:val="20"/>
              </w:rPr>
              <w:t>[Date]</w:t>
            </w:r>
          </w:p>
        </w:tc>
        <w:tc>
          <w:tcPr>
            <w:tcW w:type="dxa" w:w="4752"/>
          </w:tcPr>
          <w:p>
            <w:r/>
            <w:r>
              <w:rPr>
                <w:rFonts w:ascii="Times New Roman" w:hAnsi="Times New Roman"/>
                <w:sz w:val="20"/>
              </w:rPr>
              <w:t>Initial publication</w:t>
            </w:r>
          </w:p>
        </w:tc>
        <w:tc>
          <w:tcPr>
            <w:tcW w:type="dxa" w:w="1728"/>
          </w:tcPr>
          <w:p>
            <w:r/>
            <w:r>
              <w:rPr>
                <w:rFonts w:ascii="Times New Roman" w:hAnsi="Times New Roman"/>
                <w:sz w:val="20"/>
              </w:rPr>
              <w:t>[Name/Title]</w:t>
            </w:r>
          </w:p>
        </w:tc>
      </w:tr>
      <w:tr>
        <w:tc>
          <w:tcPr>
            <w:tcW w:type="dxa" w:w="1296"/>
          </w:tcPr>
          <w:p>
            <w:r/>
            <w:r>
              <w:rPr>
                <w:rFonts w:ascii="Times New Roman" w:hAnsi="Times New Roman"/>
                <w:sz w:val="20"/>
              </w:rPr>
            </w:r>
          </w:p>
        </w:tc>
        <w:tc>
          <w:tcPr>
            <w:tcW w:type="dxa" w:w="1584"/>
          </w:tcPr>
          <w:p>
            <w:r/>
            <w:r>
              <w:rPr>
                <w:rFonts w:ascii="Times New Roman" w:hAnsi="Times New Roman"/>
                <w:sz w:val="20"/>
              </w:rPr>
            </w:r>
          </w:p>
        </w:tc>
        <w:tc>
          <w:tcPr>
            <w:tcW w:type="dxa" w:w="4752"/>
          </w:tcPr>
          <w:p>
            <w:r/>
            <w:r>
              <w:rPr>
                <w:rFonts w:ascii="Times New Roman" w:hAnsi="Times New Roman"/>
                <w:sz w:val="20"/>
              </w:rPr>
            </w:r>
          </w:p>
        </w:tc>
        <w:tc>
          <w:tcPr>
            <w:tcW w:type="dxa" w:w="1728"/>
          </w:tcPr>
          <w:p>
            <w:r/>
            <w:r>
              <w:rPr>
                <w:rFonts w:ascii="Times New Roman" w:hAnsi="Times New Roman"/>
                <w:sz w:val="20"/>
              </w:rPr>
            </w:r>
          </w:p>
        </w:tc>
      </w:tr>
      <w:tr>
        <w:tc>
          <w:tcPr>
            <w:tcW w:type="dxa" w:w="1296"/>
          </w:tcPr>
          <w:p>
            <w:r/>
            <w:r>
              <w:rPr>
                <w:rFonts w:ascii="Times New Roman" w:hAnsi="Times New Roman"/>
                <w:sz w:val="20"/>
              </w:rPr>
            </w:r>
          </w:p>
        </w:tc>
        <w:tc>
          <w:tcPr>
            <w:tcW w:type="dxa" w:w="1584"/>
          </w:tcPr>
          <w:p>
            <w:r/>
            <w:r>
              <w:rPr>
                <w:rFonts w:ascii="Times New Roman" w:hAnsi="Times New Roman"/>
                <w:sz w:val="20"/>
              </w:rPr>
            </w:r>
          </w:p>
        </w:tc>
        <w:tc>
          <w:tcPr>
            <w:tcW w:type="dxa" w:w="4752"/>
          </w:tcPr>
          <w:p>
            <w:r/>
            <w:r>
              <w:rPr>
                <w:rFonts w:ascii="Times New Roman" w:hAnsi="Times New Roman"/>
                <w:sz w:val="20"/>
              </w:rPr>
            </w:r>
          </w:p>
        </w:tc>
        <w:tc>
          <w:tcPr>
            <w:tcW w:type="dxa" w:w="1728"/>
          </w:tcPr>
          <w:p>
            <w:r/>
            <w:r>
              <w:rPr>
                <w:rFonts w:ascii="Times New Roman" w:hAnsi="Times New Roman"/>
                <w:sz w:val="20"/>
              </w:rPr>
            </w:r>
          </w:p>
        </w:tc>
      </w:tr>
    </w:tbl>
    <w:p/>
    <w:p>
      <w:pPr>
        <w:spacing w:before="360" w:after="200"/>
      </w:pPr>
      <w:r>
        <w:rPr>
          <w:rFonts w:ascii="Times New Roman" w:hAnsi="Times New Roman"/>
          <w:b/>
          <w:sz w:val="24"/>
          <w:u w:val="single"/>
        </w:rPr>
        <w:t>D. Implementation</w:t>
      </w:r>
    </w:p>
    <w:p>
      <w:pPr>
        <w:spacing w:after="120"/>
      </w:pPr>
      <w:r>
        <w:rPr>
          <w:rFonts w:ascii="Times New Roman" w:hAnsi="Times New Roman"/>
          <w:sz w:val="24"/>
        </w:rPr>
        <w:t>Legal implements and enforces the procedures in this Manual. All Legal staff are expected to read the current version and follow it.</w:t>
      </w:r>
    </w:p>
    <w:p>
      <w:r>
        <w:br w:type="page"/>
      </w:r>
    </w:p>
    <w:p>
      <w:pPr>
        <w:spacing w:before="480" w:after="240"/>
      </w:pPr>
      <w:r>
        <w:rPr>
          <w:rFonts w:ascii="Times New Roman" w:hAnsi="Times New Roman"/>
          <w:b/>
          <w:sz w:val="24"/>
        </w:rPr>
        <w:t>ATTACHMENT A: WHO CAN APPROVE WHAT</w:t>
      </w:r>
    </w:p>
    <w:p>
      <w:pPr>
        <w:spacing w:after="120"/>
      </w:pPr>
      <w:r>
        <w:rPr>
          <w:rFonts w:ascii="Times New Roman" w:hAnsi="Times New Roman"/>
          <w:sz w:val="24"/>
        </w:rPr>
        <w:t>This matrix shows who can approve each type of transaction. Executive leadership sets the dollar thresholds. Anything above the top tier needs Board approval.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592"/>
            <w:shd w:fill="D9E2F3" w:val="clear"/>
          </w:tcPr>
          <w:p>
            <w:pPr>
              <w:jc w:val="center"/>
            </w:pPr>
            <w:r/>
            <w:r>
              <w:rPr>
                <w:rFonts w:ascii="Times New Roman" w:hAnsi="Times New Roman"/>
                <w:b/>
                <w:sz w:val="20"/>
              </w:rPr>
              <w:t>Action / Document</w:t>
            </w:r>
          </w:p>
        </w:tc>
        <w:tc>
          <w:tcPr>
            <w:tcW w:type="dxa" w:w="1872"/>
            <w:shd w:fill="D9E2F3" w:val="clear"/>
          </w:tcPr>
          <w:p>
            <w:pPr>
              <w:jc w:val="center"/>
            </w:pPr>
            <w:r/>
            <w:r>
              <w:rPr>
                <w:rFonts w:ascii="Times New Roman" w:hAnsi="Times New Roman"/>
                <w:b/>
                <w:sz w:val="20"/>
              </w:rPr>
              <w:t>Tier 1: GC</w:t>
            </w:r>
          </w:p>
        </w:tc>
        <w:tc>
          <w:tcPr>
            <w:tcW w:type="dxa" w:w="1872"/>
            <w:shd w:fill="D9E2F3" w:val="clear"/>
          </w:tcPr>
          <w:p>
            <w:pPr>
              <w:jc w:val="center"/>
            </w:pPr>
            <w:r/>
            <w:r>
              <w:rPr>
                <w:rFonts w:ascii="Times New Roman" w:hAnsi="Times New Roman"/>
                <w:b/>
                <w:sz w:val="20"/>
              </w:rPr>
              <w:t>Tier 2: GC + CFO</w:t>
            </w:r>
          </w:p>
        </w:tc>
        <w:tc>
          <w:tcPr>
            <w:tcW w:type="dxa" w:w="1872"/>
            <w:shd w:fill="D9E2F3" w:val="clear"/>
          </w:tcPr>
          <w:p>
            <w:pPr>
              <w:jc w:val="center"/>
            </w:pPr>
            <w:r/>
            <w:r>
              <w:rPr>
                <w:rFonts w:ascii="Times New Roman" w:hAnsi="Times New Roman"/>
                <w:b/>
                <w:sz w:val="20"/>
              </w:rPr>
              <w:t>Tier 3: GC + CEO</w:t>
            </w:r>
          </w:p>
        </w:tc>
        <w:tc>
          <w:tcPr>
            <w:tcW w:type="dxa" w:w="1152"/>
            <w:shd w:fill="D9E2F3" w:val="clear"/>
          </w:tcPr>
          <w:p>
            <w:pPr>
              <w:jc w:val="center"/>
            </w:pPr>
            <w:r/>
            <w:r>
              <w:rPr>
                <w:rFonts w:ascii="Times New Roman" w:hAnsi="Times New Roman"/>
                <w:b/>
                <w:sz w:val="20"/>
              </w:rPr>
              <w:t>Tier 4: Board</w:t>
            </w:r>
          </w:p>
        </w:tc>
      </w:tr>
      <w:tr>
        <w:tc>
          <w:tcPr>
            <w:tcW w:type="dxa" w:w="2592"/>
          </w:tcPr>
          <w:p>
            <w:r/>
            <w:r>
              <w:rPr>
                <w:rFonts w:ascii="Times New Roman" w:hAnsi="Times New Roman"/>
                <w:sz w:val="20"/>
              </w:rPr>
              <w:t>New Lease Execution</w:t>
            </w:r>
          </w:p>
        </w:tc>
        <w:tc>
          <w:tcPr>
            <w:tcW w:type="dxa" w:w="1872"/>
          </w:tcPr>
          <w:p>
            <w:r/>
            <w:r>
              <w:rPr>
                <w:rFonts w:ascii="Times New Roman" w:hAnsi="Times New Roman"/>
                <w:sz w:val="20"/>
              </w:rPr>
              <w:t>&lt; $[X] annual rent</w:t>
            </w:r>
          </w:p>
        </w:tc>
        <w:tc>
          <w:tcPr>
            <w:tcW w:type="dxa" w:w="1872"/>
          </w:tcPr>
          <w:p>
            <w:r/>
            <w:r>
              <w:rPr>
                <w:rFonts w:ascii="Times New Roman" w:hAnsi="Times New Roman"/>
                <w:sz w:val="20"/>
              </w:rPr>
              <w:t>$[X] – $[Y]</w:t>
            </w:r>
          </w:p>
        </w:tc>
        <w:tc>
          <w:tcPr>
            <w:tcW w:type="dxa" w:w="1872"/>
          </w:tcPr>
          <w:p>
            <w:r/>
            <w:r>
              <w:rPr>
                <w:rFonts w:ascii="Times New Roman" w:hAnsi="Times New Roman"/>
                <w:sz w:val="20"/>
              </w:rPr>
              <w:t>$[Y] – $[Z]</w:t>
            </w:r>
          </w:p>
        </w:tc>
        <w:tc>
          <w:tcPr>
            <w:tcW w:type="dxa" w:w="1152"/>
          </w:tcPr>
          <w:p>
            <w:r/>
            <w:r>
              <w:rPr>
                <w:rFonts w:ascii="Times New Roman" w:hAnsi="Times New Roman"/>
                <w:sz w:val="20"/>
              </w:rPr>
              <w:t>&gt; $[Z]</w:t>
            </w:r>
          </w:p>
        </w:tc>
      </w:tr>
      <w:tr>
        <w:tc>
          <w:tcPr>
            <w:tcW w:type="dxa" w:w="2592"/>
          </w:tcPr>
          <w:p>
            <w:r/>
            <w:r>
              <w:rPr>
                <w:rFonts w:ascii="Times New Roman" w:hAnsi="Times New Roman"/>
                <w:sz w:val="20"/>
              </w:rPr>
              <w:t>Lease Amendment</w:t>
            </w:r>
          </w:p>
        </w:tc>
        <w:tc>
          <w:tcPr>
            <w:tcW w:type="dxa" w:w="1872"/>
          </w:tcPr>
          <w:p>
            <w:r/>
            <w:r>
              <w:rPr>
                <w:rFonts w:ascii="Times New Roman" w:hAnsi="Times New Roman"/>
                <w:sz w:val="20"/>
              </w:rPr>
              <w:t>&lt; $[X] impact</w:t>
            </w:r>
          </w:p>
        </w:tc>
        <w:tc>
          <w:tcPr>
            <w:tcW w:type="dxa" w:w="1872"/>
          </w:tcPr>
          <w:p>
            <w:r/>
            <w:r>
              <w:rPr>
                <w:rFonts w:ascii="Times New Roman" w:hAnsi="Times New Roman"/>
                <w:sz w:val="20"/>
              </w:rPr>
              <w:t>$[X] – $[Y]</w:t>
            </w:r>
          </w:p>
        </w:tc>
        <w:tc>
          <w:tcPr>
            <w:tcW w:type="dxa" w:w="1872"/>
          </w:tcPr>
          <w:p>
            <w:r/>
            <w:r>
              <w:rPr>
                <w:rFonts w:ascii="Times New Roman" w:hAnsi="Times New Roman"/>
                <w:sz w:val="20"/>
              </w:rPr>
              <w:t>$[Y] – $[Z]</w:t>
            </w:r>
          </w:p>
        </w:tc>
        <w:tc>
          <w:tcPr>
            <w:tcW w:type="dxa" w:w="1152"/>
          </w:tcPr>
          <w:p>
            <w:r/>
            <w:r>
              <w:rPr>
                <w:rFonts w:ascii="Times New Roman" w:hAnsi="Times New Roman"/>
                <w:sz w:val="20"/>
              </w:rPr>
              <w:t>&gt; $[Z]</w:t>
            </w:r>
          </w:p>
        </w:tc>
      </w:tr>
      <w:tr>
        <w:tc>
          <w:tcPr>
            <w:tcW w:type="dxa" w:w="2592"/>
          </w:tcPr>
          <w:p>
            <w:r/>
            <w:r>
              <w:rPr>
                <w:rFonts w:ascii="Times New Roman" w:hAnsi="Times New Roman"/>
                <w:sz w:val="20"/>
              </w:rPr>
              <w:t>Lease Termination / Surrender</w:t>
            </w:r>
          </w:p>
        </w:tc>
        <w:tc>
          <w:tcPr>
            <w:tcW w:type="dxa" w:w="1872"/>
          </w:tcPr>
          <w:p>
            <w:r/>
            <w:r>
              <w:rPr>
                <w:rFonts w:ascii="Times New Roman" w:hAnsi="Times New Roman"/>
                <w:sz w:val="20"/>
              </w:rPr>
              <w:t>&lt; $[X]</w:t>
            </w:r>
          </w:p>
        </w:tc>
        <w:tc>
          <w:tcPr>
            <w:tcW w:type="dxa" w:w="1872"/>
          </w:tcPr>
          <w:p>
            <w:r/>
            <w:r>
              <w:rPr>
                <w:rFonts w:ascii="Times New Roman" w:hAnsi="Times New Roman"/>
                <w:sz w:val="20"/>
              </w:rPr>
              <w:t>$[X] – $[Y]</w:t>
            </w:r>
          </w:p>
        </w:tc>
        <w:tc>
          <w:tcPr>
            <w:tcW w:type="dxa" w:w="1872"/>
          </w:tcPr>
          <w:p>
            <w:r/>
            <w:r>
              <w:rPr>
                <w:rFonts w:ascii="Times New Roman" w:hAnsi="Times New Roman"/>
                <w:sz w:val="20"/>
              </w:rPr>
              <w:t>$[Y] – $[Z]</w:t>
            </w:r>
          </w:p>
        </w:tc>
        <w:tc>
          <w:tcPr>
            <w:tcW w:type="dxa" w:w="1152"/>
          </w:tcPr>
          <w:p>
            <w:r/>
            <w:r>
              <w:rPr>
                <w:rFonts w:ascii="Times New Roman" w:hAnsi="Times New Roman"/>
                <w:sz w:val="20"/>
              </w:rPr>
              <w:t>&gt; $[Z]</w:t>
            </w:r>
          </w:p>
        </w:tc>
      </w:tr>
      <w:tr>
        <w:tc>
          <w:tcPr>
            <w:tcW w:type="dxa" w:w="2592"/>
          </w:tcPr>
          <w:p>
            <w:r/>
            <w:r>
              <w:rPr>
                <w:rFonts w:ascii="Times New Roman" w:hAnsi="Times New Roman"/>
                <w:sz w:val="20"/>
              </w:rPr>
              <w:t>Litigation Settlement</w:t>
            </w:r>
          </w:p>
        </w:tc>
        <w:tc>
          <w:tcPr>
            <w:tcW w:type="dxa" w:w="1872"/>
          </w:tcPr>
          <w:p>
            <w:r/>
            <w:r>
              <w:rPr>
                <w:rFonts w:ascii="Times New Roman" w:hAnsi="Times New Roman"/>
                <w:sz w:val="20"/>
              </w:rPr>
              <w:t>&lt; $[X]</w:t>
            </w:r>
          </w:p>
        </w:tc>
        <w:tc>
          <w:tcPr>
            <w:tcW w:type="dxa" w:w="1872"/>
          </w:tcPr>
          <w:p>
            <w:r/>
            <w:r>
              <w:rPr>
                <w:rFonts w:ascii="Times New Roman" w:hAnsi="Times New Roman"/>
                <w:sz w:val="20"/>
              </w:rPr>
              <w:t>$[X] – $[Y]</w:t>
            </w:r>
          </w:p>
        </w:tc>
        <w:tc>
          <w:tcPr>
            <w:tcW w:type="dxa" w:w="1872"/>
          </w:tcPr>
          <w:p>
            <w:r/>
            <w:r>
              <w:rPr>
                <w:rFonts w:ascii="Times New Roman" w:hAnsi="Times New Roman"/>
                <w:sz w:val="20"/>
              </w:rPr>
              <w:t>$[Y] – $[Z]</w:t>
            </w:r>
          </w:p>
        </w:tc>
        <w:tc>
          <w:tcPr>
            <w:tcW w:type="dxa" w:w="1152"/>
          </w:tcPr>
          <w:p>
            <w:r/>
            <w:r>
              <w:rPr>
                <w:rFonts w:ascii="Times New Roman" w:hAnsi="Times New Roman"/>
                <w:sz w:val="20"/>
              </w:rPr>
              <w:t>&gt; $[Z]</w:t>
            </w:r>
          </w:p>
        </w:tc>
      </w:tr>
      <w:tr>
        <w:tc>
          <w:tcPr>
            <w:tcW w:type="dxa" w:w="2592"/>
          </w:tcPr>
          <w:p>
            <w:r/>
            <w:r>
              <w:rPr>
                <w:rFonts w:ascii="Times New Roman" w:hAnsi="Times New Roman"/>
                <w:sz w:val="20"/>
              </w:rPr>
              <w:t>Outside Counsel Engagement</w:t>
            </w:r>
          </w:p>
        </w:tc>
        <w:tc>
          <w:tcPr>
            <w:tcW w:type="dxa" w:w="1872"/>
          </w:tcPr>
          <w:p>
            <w:r/>
            <w:r>
              <w:rPr>
                <w:rFonts w:ascii="Times New Roman" w:hAnsi="Times New Roman"/>
                <w:sz w:val="20"/>
              </w:rPr>
              <w:t>&lt; $[X] budget</w:t>
            </w:r>
          </w:p>
        </w:tc>
        <w:tc>
          <w:tcPr>
            <w:tcW w:type="dxa" w:w="1872"/>
          </w:tcPr>
          <w:p>
            <w:r/>
            <w:r>
              <w:rPr>
                <w:rFonts w:ascii="Times New Roman" w:hAnsi="Times New Roman"/>
                <w:sz w:val="20"/>
              </w:rPr>
              <w:t>$[X] – $[Y]</w:t>
            </w:r>
          </w:p>
        </w:tc>
        <w:tc>
          <w:tcPr>
            <w:tcW w:type="dxa" w:w="1872"/>
          </w:tcPr>
          <w:p>
            <w:r/>
            <w:r>
              <w:rPr>
                <w:rFonts w:ascii="Times New Roman" w:hAnsi="Times New Roman"/>
                <w:sz w:val="20"/>
              </w:rPr>
              <w:t>&gt; $[Y]</w:t>
            </w:r>
          </w:p>
        </w:tc>
        <w:tc>
          <w:tcPr>
            <w:tcW w:type="dxa" w:w="1152"/>
          </w:tcPr>
          <w:p>
            <w:r/>
            <w:r>
              <w:rPr>
                <w:rFonts w:ascii="Times New Roman" w:hAnsi="Times New Roman"/>
                <w:sz w:val="20"/>
              </w:rPr>
              <w:t>N/A</w:t>
            </w:r>
          </w:p>
        </w:tc>
      </w:tr>
      <w:tr>
        <w:tc>
          <w:tcPr>
            <w:tcW w:type="dxa" w:w="2592"/>
          </w:tcPr>
          <w:p>
            <w:r/>
            <w:r>
              <w:rPr>
                <w:rFonts w:ascii="Times New Roman" w:hAnsi="Times New Roman"/>
                <w:sz w:val="20"/>
              </w:rPr>
              <w:t>Vendor / Service Contracts</w:t>
            </w:r>
          </w:p>
        </w:tc>
        <w:tc>
          <w:tcPr>
            <w:tcW w:type="dxa" w:w="1872"/>
          </w:tcPr>
          <w:p>
            <w:r/>
            <w:r>
              <w:rPr>
                <w:rFonts w:ascii="Times New Roman" w:hAnsi="Times New Roman"/>
                <w:sz w:val="20"/>
              </w:rPr>
              <w:t>&lt; $[X]</w:t>
            </w:r>
          </w:p>
        </w:tc>
        <w:tc>
          <w:tcPr>
            <w:tcW w:type="dxa" w:w="1872"/>
          </w:tcPr>
          <w:p>
            <w:r/>
            <w:r>
              <w:rPr>
                <w:rFonts w:ascii="Times New Roman" w:hAnsi="Times New Roman"/>
                <w:sz w:val="20"/>
              </w:rPr>
              <w:t>$[X] – $[Y]</w:t>
            </w:r>
          </w:p>
        </w:tc>
        <w:tc>
          <w:tcPr>
            <w:tcW w:type="dxa" w:w="1872"/>
          </w:tcPr>
          <w:p>
            <w:r/>
            <w:r>
              <w:rPr>
                <w:rFonts w:ascii="Times New Roman" w:hAnsi="Times New Roman"/>
                <w:sz w:val="20"/>
              </w:rPr>
              <w:t>$[Y] – $[Z]</w:t>
            </w:r>
          </w:p>
        </w:tc>
        <w:tc>
          <w:tcPr>
            <w:tcW w:type="dxa" w:w="1152"/>
          </w:tcPr>
          <w:p>
            <w:r/>
            <w:r>
              <w:rPr>
                <w:rFonts w:ascii="Times New Roman" w:hAnsi="Times New Roman"/>
                <w:sz w:val="20"/>
              </w:rPr>
              <w:t>&gt; $[Z]</w:t>
            </w:r>
          </w:p>
        </w:tc>
      </w:tr>
      <w:tr>
        <w:tc>
          <w:tcPr>
            <w:tcW w:type="dxa" w:w="2592"/>
          </w:tcPr>
          <w:p>
            <w:r/>
            <w:r>
              <w:rPr>
                <w:rFonts w:ascii="Times New Roman" w:hAnsi="Times New Roman"/>
                <w:sz w:val="20"/>
              </w:rPr>
              <w:t>Entity Formation / Dissolution</w:t>
            </w:r>
          </w:p>
        </w:tc>
        <w:tc>
          <w:tcPr>
            <w:tcW w:type="dxa" w:w="1872"/>
          </w:tcPr>
          <w:p>
            <w:r/>
            <w:r>
              <w:rPr>
                <w:rFonts w:ascii="Times New Roman" w:hAnsi="Times New Roman"/>
                <w:sz w:val="20"/>
              </w:rPr>
              <w:t>GC approval</w:t>
            </w:r>
          </w:p>
        </w:tc>
        <w:tc>
          <w:tcPr>
            <w:tcW w:type="dxa" w:w="1872"/>
          </w:tcPr>
          <w:p>
            <w:r/>
            <w:r>
              <w:rPr>
                <w:rFonts w:ascii="Times New Roman" w:hAnsi="Times New Roman"/>
                <w:sz w:val="20"/>
              </w:rPr>
              <w:t>GC + CFO</w:t>
            </w:r>
          </w:p>
        </w:tc>
        <w:tc>
          <w:tcPr>
            <w:tcW w:type="dxa" w:w="1872"/>
          </w:tcPr>
          <w:p>
            <w:r/>
            <w:r>
              <w:rPr>
                <w:rFonts w:ascii="Times New Roman" w:hAnsi="Times New Roman"/>
                <w:sz w:val="20"/>
              </w:rPr>
              <w:t>GC + CEO</w:t>
            </w:r>
          </w:p>
        </w:tc>
        <w:tc>
          <w:tcPr>
            <w:tcW w:type="dxa" w:w="1152"/>
          </w:tcPr>
          <w:p>
            <w:r/>
            <w:r>
              <w:rPr>
                <w:rFonts w:ascii="Times New Roman" w:hAnsi="Times New Roman"/>
                <w:sz w:val="20"/>
              </w:rPr>
              <w:t>Board</w:t>
            </w:r>
          </w:p>
        </w:tc>
      </w:tr>
      <w:tr>
        <w:tc>
          <w:tcPr>
            <w:tcW w:type="dxa" w:w="2592"/>
          </w:tcPr>
          <w:p>
            <w:r/>
            <w:r>
              <w:rPr>
                <w:rFonts w:ascii="Times New Roman" w:hAnsi="Times New Roman"/>
                <w:sz w:val="20"/>
              </w:rPr>
              <w:t>Acquisition / Disposition</w:t>
            </w:r>
          </w:p>
        </w:tc>
        <w:tc>
          <w:tcPr>
            <w:tcW w:type="dxa" w:w="1872"/>
          </w:tcPr>
          <w:p>
            <w:r/>
            <w:r>
              <w:rPr>
                <w:rFonts w:ascii="Times New Roman" w:hAnsi="Times New Roman"/>
                <w:sz w:val="20"/>
              </w:rPr>
              <w:t>N/A</w:t>
            </w:r>
          </w:p>
        </w:tc>
        <w:tc>
          <w:tcPr>
            <w:tcW w:type="dxa" w:w="1872"/>
          </w:tcPr>
          <w:p>
            <w:r/>
            <w:r>
              <w:rPr>
                <w:rFonts w:ascii="Times New Roman" w:hAnsi="Times New Roman"/>
                <w:sz w:val="20"/>
              </w:rPr>
              <w:t>N/A</w:t>
            </w:r>
          </w:p>
        </w:tc>
        <w:tc>
          <w:tcPr>
            <w:tcW w:type="dxa" w:w="1872"/>
          </w:tcPr>
          <w:p>
            <w:r/>
            <w:r>
              <w:rPr>
                <w:rFonts w:ascii="Times New Roman" w:hAnsi="Times New Roman"/>
                <w:sz w:val="20"/>
              </w:rPr>
              <w:t>GC + CEO</w:t>
            </w:r>
          </w:p>
        </w:tc>
        <w:tc>
          <w:tcPr>
            <w:tcW w:type="dxa" w:w="1152"/>
          </w:tcPr>
          <w:p>
            <w:r/>
            <w:r>
              <w:rPr>
                <w:rFonts w:ascii="Times New Roman" w:hAnsi="Times New Roman"/>
                <w:sz w:val="20"/>
              </w:rPr>
              <w:t>Board</w:t>
            </w:r>
          </w:p>
        </w:tc>
      </w:tr>
      <w:tr>
        <w:tc>
          <w:tcPr>
            <w:tcW w:type="dxa" w:w="2592"/>
          </w:tcPr>
          <w:p>
            <w:r/>
            <w:r>
              <w:rPr>
                <w:rFonts w:ascii="Times New Roman" w:hAnsi="Times New Roman"/>
                <w:sz w:val="20"/>
              </w:rPr>
              <w:t>Financing / Loan Documents</w:t>
            </w:r>
          </w:p>
        </w:tc>
        <w:tc>
          <w:tcPr>
            <w:tcW w:type="dxa" w:w="1872"/>
          </w:tcPr>
          <w:p>
            <w:r/>
            <w:r>
              <w:rPr>
                <w:rFonts w:ascii="Times New Roman" w:hAnsi="Times New Roman"/>
                <w:sz w:val="20"/>
              </w:rPr>
              <w:t>N/A</w:t>
            </w:r>
          </w:p>
        </w:tc>
        <w:tc>
          <w:tcPr>
            <w:tcW w:type="dxa" w:w="1872"/>
          </w:tcPr>
          <w:p>
            <w:r/>
            <w:r>
              <w:rPr>
                <w:rFonts w:ascii="Times New Roman" w:hAnsi="Times New Roman"/>
                <w:sz w:val="20"/>
              </w:rPr>
              <w:t>GC + CFO</w:t>
            </w:r>
          </w:p>
        </w:tc>
        <w:tc>
          <w:tcPr>
            <w:tcW w:type="dxa" w:w="1872"/>
          </w:tcPr>
          <w:p>
            <w:r/>
            <w:r>
              <w:rPr>
                <w:rFonts w:ascii="Times New Roman" w:hAnsi="Times New Roman"/>
                <w:sz w:val="20"/>
              </w:rPr>
              <w:t>GC + CEO</w:t>
            </w:r>
          </w:p>
        </w:tc>
        <w:tc>
          <w:tcPr>
            <w:tcW w:type="dxa" w:w="1152"/>
          </w:tcPr>
          <w:p>
            <w:r/>
            <w:r>
              <w:rPr>
                <w:rFonts w:ascii="Times New Roman" w:hAnsi="Times New Roman"/>
                <w:sz w:val="20"/>
              </w:rPr>
              <w:t>Board</w:t>
            </w:r>
          </w:p>
        </w:tc>
      </w:tr>
      <w:tr>
        <w:tc>
          <w:tcPr>
            <w:tcW w:type="dxa" w:w="2592"/>
          </w:tcPr>
          <w:p>
            <w:r/>
            <w:r>
              <w:rPr>
                <w:rFonts w:ascii="Times New Roman" w:hAnsi="Times New Roman"/>
                <w:sz w:val="20"/>
              </w:rPr>
              <w:t>Insurance Claim Settlement</w:t>
            </w:r>
          </w:p>
        </w:tc>
        <w:tc>
          <w:tcPr>
            <w:tcW w:type="dxa" w:w="1872"/>
          </w:tcPr>
          <w:p>
            <w:r/>
            <w:r>
              <w:rPr>
                <w:rFonts w:ascii="Times New Roman" w:hAnsi="Times New Roman"/>
                <w:sz w:val="20"/>
              </w:rPr>
              <w:t>&lt; $[X]</w:t>
            </w:r>
          </w:p>
        </w:tc>
        <w:tc>
          <w:tcPr>
            <w:tcW w:type="dxa" w:w="1872"/>
          </w:tcPr>
          <w:p>
            <w:r/>
            <w:r>
              <w:rPr>
                <w:rFonts w:ascii="Times New Roman" w:hAnsi="Times New Roman"/>
                <w:sz w:val="20"/>
              </w:rPr>
              <w:t>$[X] – $[Y]</w:t>
            </w:r>
          </w:p>
        </w:tc>
        <w:tc>
          <w:tcPr>
            <w:tcW w:type="dxa" w:w="1872"/>
          </w:tcPr>
          <w:p>
            <w:r/>
            <w:r>
              <w:rPr>
                <w:rFonts w:ascii="Times New Roman" w:hAnsi="Times New Roman"/>
                <w:sz w:val="20"/>
              </w:rPr>
              <w:t>&gt; $[Y]</w:t>
            </w:r>
          </w:p>
        </w:tc>
        <w:tc>
          <w:tcPr>
            <w:tcW w:type="dxa" w:w="1152"/>
          </w:tcPr>
          <w:p>
            <w:r/>
            <w:r>
              <w:rPr>
                <w:rFonts w:ascii="Times New Roman" w:hAnsi="Times New Roman"/>
                <w:sz w:val="20"/>
              </w:rPr>
              <w:t>N/A</w:t>
            </w:r>
          </w:p>
        </w:tc>
      </w:tr>
    </w:tbl>
    <w:p/>
    <w:p>
      <w:pPr>
        <w:spacing w:after="120"/>
      </w:pPr>
      <w:r>
        <w:rPr>
          <w:rFonts w:ascii="Times New Roman" w:hAnsi="Times New Roman"/>
          <w:b/>
          <w:sz w:val="24"/>
        </w:rPr>
        <w:t>Notes:</w:t>
      </w:r>
    </w:p>
    <w:p>
      <w:pPr>
        <w:pStyle w:val="ListBullet"/>
      </w:pPr>
      <w:r>
        <w:rPr>
          <w:rFonts w:ascii="Times New Roman" w:hAnsi="Times New Roman"/>
          <w:sz w:val="24"/>
        </w:rPr>
        <w:t>$[X], $[Y], $[Z] are dollar thresholds. Executive leadership fills these in before rolling out the matrix.</w:t>
      </w:r>
    </w:p>
    <w:p>
      <w:pPr>
        <w:pStyle w:val="ListBullet"/>
      </w:pPr>
      <w:r>
        <w:rPr>
          <w:rFonts w:ascii="Times New Roman" w:hAnsi="Times New Roman"/>
          <w:sz w:val="24"/>
        </w:rPr>
        <w:t>All approvals must be in writing. Email works for Tier 1.</w:t>
      </w:r>
    </w:p>
    <w:p>
      <w:pPr>
        <w:pStyle w:val="ListBullet"/>
      </w:pPr>
      <w:r>
        <w:rPr>
          <w:rFonts w:ascii="Times New Roman" w:hAnsi="Times New Roman"/>
          <w:sz w:val="24"/>
        </w:rPr>
        <w:t>If the GC is out, the CEO can use Tier 1 and Tier 2 authority for urgent matters. Document it afterward.</w:t>
      </w:r>
    </w:p>
    <w:p>
      <w:pPr>
        <w:pStyle w:val="ListBullet"/>
      </w:pPr>
      <w:r>
        <w:rPr>
          <w:rFonts w:ascii="Times New Roman" w:hAnsi="Times New Roman"/>
          <w:sz w:val="24"/>
        </w:rPr>
        <w:t>Review this matrix every year when we review the Manual (Section 13).</w:t>
      </w:r>
    </w:p>
    <w:p>
      <w:r>
        <w:br w:type="page"/>
      </w:r>
    </w:p>
    <w:p>
      <w:pPr>
        <w:spacing w:before="480" w:after="240"/>
      </w:pPr>
      <w:r>
        <w:rPr>
          <w:rFonts w:ascii="Times New Roman" w:hAnsi="Times New Roman"/>
          <w:b/>
          <w:sz w:val="24"/>
        </w:rPr>
        <w:t>ATTACHMENT B: LEGAL RISK DASHBOARD</w:t>
      </w:r>
    </w:p>
    <w:p>
      <w:pPr>
        <w:spacing w:after="120"/>
      </w:pPr>
      <w:r>
        <w:rPr>
          <w:rFonts w:ascii="Times New Roman" w:hAnsi="Times New Roman"/>
          <w:sz w:val="24"/>
        </w:rPr>
        <w:t>The Legal Risk Dashboard is a one-look summary for executive leadership and the Board. Legal prepares it monthly and sends it before the scheduled legal update meetings.</w:t>
      </w:r>
    </w:p>
    <w:p>
      <w:pPr>
        <w:spacing w:after="120"/>
      </w:pPr>
      <w:r>
        <w:rPr>
          <w:rFonts w:ascii="Times New Roman" w:hAnsi="Times New Roman"/>
          <w:b/>
          <w:sz w:val="24"/>
        </w:rPr>
        <w:t>Section 1: Active Matters Summary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592"/>
            <w:shd w:fill="D9E2F3" w:val="clear"/>
          </w:tcPr>
          <w:p>
            <w:pPr>
              <w:jc w:val="center"/>
            </w:pPr>
            <w:r/>
            <w:r>
              <w:rPr>
                <w:rFonts w:ascii="Times New Roman" w:hAnsi="Times New Roman"/>
                <w:b/>
                <w:sz w:val="20"/>
              </w:rPr>
              <w:t>Category</w:t>
            </w:r>
          </w:p>
        </w:tc>
        <w:tc>
          <w:tcPr>
            <w:tcW w:type="dxa" w:w="1872"/>
            <w:shd w:fill="D9E2F3" w:val="clear"/>
          </w:tcPr>
          <w:p>
            <w:pPr>
              <w:jc w:val="center"/>
            </w:pPr>
            <w:r/>
            <w:r>
              <w:rPr>
                <w:rFonts w:ascii="Times New Roman" w:hAnsi="Times New Roman"/>
                <w:b/>
                <w:sz w:val="20"/>
              </w:rPr>
              <w:t>High Risk</w:t>
            </w:r>
          </w:p>
        </w:tc>
        <w:tc>
          <w:tcPr>
            <w:tcW w:type="dxa" w:w="1872"/>
            <w:shd w:fill="D9E2F3" w:val="clear"/>
          </w:tcPr>
          <w:p>
            <w:pPr>
              <w:jc w:val="center"/>
            </w:pPr>
            <w:r/>
            <w:r>
              <w:rPr>
                <w:rFonts w:ascii="Times New Roman" w:hAnsi="Times New Roman"/>
                <w:b/>
                <w:sz w:val="20"/>
              </w:rPr>
              <w:t>Medium Risk</w:t>
            </w:r>
          </w:p>
        </w:tc>
        <w:tc>
          <w:tcPr>
            <w:tcW w:type="dxa" w:w="1584"/>
            <w:shd w:fill="D9E2F3" w:val="clear"/>
          </w:tcPr>
          <w:p>
            <w:pPr>
              <w:jc w:val="center"/>
            </w:pPr>
            <w:r/>
            <w:r>
              <w:rPr>
                <w:rFonts w:ascii="Times New Roman" w:hAnsi="Times New Roman"/>
                <w:b/>
                <w:sz w:val="20"/>
              </w:rPr>
              <w:t>Low Risk</w:t>
            </w:r>
          </w:p>
        </w:tc>
        <w:tc>
          <w:tcPr>
            <w:tcW w:type="dxa" w:w="1440"/>
            <w:shd w:fill="D9E2F3" w:val="clear"/>
          </w:tcPr>
          <w:p>
            <w:pPr>
              <w:jc w:val="center"/>
            </w:pPr>
            <w:r/>
            <w:r>
              <w:rPr>
                <w:rFonts w:ascii="Times New Roman" w:hAnsi="Times New Roman"/>
                <w:b/>
                <w:sz w:val="20"/>
              </w:rPr>
              <w:t>Total</w:t>
            </w:r>
          </w:p>
        </w:tc>
      </w:tr>
      <w:tr>
        <w:tc>
          <w:tcPr>
            <w:tcW w:type="dxa" w:w="2592"/>
          </w:tcPr>
          <w:p>
            <w:r/>
            <w:r>
              <w:rPr>
                <w:rFonts w:ascii="Times New Roman" w:hAnsi="Times New Roman"/>
                <w:sz w:val="20"/>
              </w:rPr>
              <w:t>Litigation</w:t>
            </w:r>
          </w:p>
        </w:tc>
        <w:tc>
          <w:tcPr>
            <w:tcW w:type="dxa" w:w="1872"/>
          </w:tcPr>
          <w:p>
            <w:r/>
            <w:r>
              <w:rPr>
                <w:rFonts w:ascii="Times New Roman" w:hAnsi="Times New Roman"/>
                <w:sz w:val="20"/>
              </w:rPr>
              <w:t>[#]</w:t>
            </w:r>
          </w:p>
        </w:tc>
        <w:tc>
          <w:tcPr>
            <w:tcW w:type="dxa" w:w="1872"/>
          </w:tcPr>
          <w:p>
            <w:r/>
            <w:r>
              <w:rPr>
                <w:rFonts w:ascii="Times New Roman" w:hAnsi="Times New Roman"/>
                <w:sz w:val="20"/>
              </w:rPr>
              <w:t>[#]</w:t>
            </w:r>
          </w:p>
        </w:tc>
        <w:tc>
          <w:tcPr>
            <w:tcW w:type="dxa" w:w="1584"/>
          </w:tcPr>
          <w:p>
            <w:r/>
            <w:r>
              <w:rPr>
                <w:rFonts w:ascii="Times New Roman" w:hAnsi="Times New Roman"/>
                <w:sz w:val="20"/>
              </w:rPr>
              <w:t>[#]</w:t>
            </w:r>
          </w:p>
        </w:tc>
        <w:tc>
          <w:tcPr>
            <w:tcW w:type="dxa" w:w="1440"/>
          </w:tcPr>
          <w:p>
            <w:r/>
            <w:r>
              <w:rPr>
                <w:rFonts w:ascii="Times New Roman" w:hAnsi="Times New Roman"/>
                <w:sz w:val="20"/>
              </w:rPr>
              <w:t>[#]</w:t>
            </w:r>
          </w:p>
        </w:tc>
      </w:tr>
      <w:tr>
        <w:tc>
          <w:tcPr>
            <w:tcW w:type="dxa" w:w="2592"/>
          </w:tcPr>
          <w:p>
            <w:r/>
            <w:r>
              <w:rPr>
                <w:rFonts w:ascii="Times New Roman" w:hAnsi="Times New Roman"/>
                <w:sz w:val="20"/>
              </w:rPr>
              <w:t>Tenant Defaults</w:t>
            </w:r>
          </w:p>
        </w:tc>
        <w:tc>
          <w:tcPr>
            <w:tcW w:type="dxa" w:w="1872"/>
          </w:tcPr>
          <w:p>
            <w:r/>
            <w:r>
              <w:rPr>
                <w:rFonts w:ascii="Times New Roman" w:hAnsi="Times New Roman"/>
                <w:sz w:val="20"/>
              </w:rPr>
              <w:t>[#]</w:t>
            </w:r>
          </w:p>
        </w:tc>
        <w:tc>
          <w:tcPr>
            <w:tcW w:type="dxa" w:w="1872"/>
          </w:tcPr>
          <w:p>
            <w:r/>
            <w:r>
              <w:rPr>
                <w:rFonts w:ascii="Times New Roman" w:hAnsi="Times New Roman"/>
                <w:sz w:val="20"/>
              </w:rPr>
              <w:t>[#]</w:t>
            </w:r>
          </w:p>
        </w:tc>
        <w:tc>
          <w:tcPr>
            <w:tcW w:type="dxa" w:w="1584"/>
          </w:tcPr>
          <w:p>
            <w:r/>
            <w:r>
              <w:rPr>
                <w:rFonts w:ascii="Times New Roman" w:hAnsi="Times New Roman"/>
                <w:sz w:val="20"/>
              </w:rPr>
              <w:t>[#]</w:t>
            </w:r>
          </w:p>
        </w:tc>
        <w:tc>
          <w:tcPr>
            <w:tcW w:type="dxa" w:w="1440"/>
          </w:tcPr>
          <w:p>
            <w:r/>
            <w:r>
              <w:rPr>
                <w:rFonts w:ascii="Times New Roman" w:hAnsi="Times New Roman"/>
                <w:sz w:val="20"/>
              </w:rPr>
              <w:t>[#]</w:t>
            </w:r>
          </w:p>
        </w:tc>
      </w:tr>
      <w:tr>
        <w:tc>
          <w:tcPr>
            <w:tcW w:type="dxa" w:w="2592"/>
          </w:tcPr>
          <w:p>
            <w:r/>
            <w:r>
              <w:rPr>
                <w:rFonts w:ascii="Times New Roman" w:hAnsi="Times New Roman"/>
                <w:sz w:val="20"/>
              </w:rPr>
              <w:t>Bankruptcy</w:t>
            </w:r>
          </w:p>
        </w:tc>
        <w:tc>
          <w:tcPr>
            <w:tcW w:type="dxa" w:w="1872"/>
          </w:tcPr>
          <w:p>
            <w:r/>
            <w:r>
              <w:rPr>
                <w:rFonts w:ascii="Times New Roman" w:hAnsi="Times New Roman"/>
                <w:sz w:val="20"/>
              </w:rPr>
              <w:t>[#]</w:t>
            </w:r>
          </w:p>
        </w:tc>
        <w:tc>
          <w:tcPr>
            <w:tcW w:type="dxa" w:w="1872"/>
          </w:tcPr>
          <w:p>
            <w:r/>
            <w:r>
              <w:rPr>
                <w:rFonts w:ascii="Times New Roman" w:hAnsi="Times New Roman"/>
                <w:sz w:val="20"/>
              </w:rPr>
              <w:t>[#]</w:t>
            </w:r>
          </w:p>
        </w:tc>
        <w:tc>
          <w:tcPr>
            <w:tcW w:type="dxa" w:w="1584"/>
          </w:tcPr>
          <w:p>
            <w:r/>
            <w:r>
              <w:rPr>
                <w:rFonts w:ascii="Times New Roman" w:hAnsi="Times New Roman"/>
                <w:sz w:val="20"/>
              </w:rPr>
              <w:t>[#]</w:t>
            </w:r>
          </w:p>
        </w:tc>
        <w:tc>
          <w:tcPr>
            <w:tcW w:type="dxa" w:w="1440"/>
          </w:tcPr>
          <w:p>
            <w:r/>
            <w:r>
              <w:rPr>
                <w:rFonts w:ascii="Times New Roman" w:hAnsi="Times New Roman"/>
                <w:sz w:val="20"/>
              </w:rPr>
              <w:t>[#]</w:t>
            </w:r>
          </w:p>
        </w:tc>
      </w:tr>
      <w:tr>
        <w:tc>
          <w:tcPr>
            <w:tcW w:type="dxa" w:w="2592"/>
          </w:tcPr>
          <w:p>
            <w:r/>
            <w:r>
              <w:rPr>
                <w:rFonts w:ascii="Times New Roman" w:hAnsi="Times New Roman"/>
                <w:sz w:val="20"/>
              </w:rPr>
              <w:t>Insurance Claims</w:t>
            </w:r>
          </w:p>
        </w:tc>
        <w:tc>
          <w:tcPr>
            <w:tcW w:type="dxa" w:w="1872"/>
          </w:tcPr>
          <w:p>
            <w:r/>
            <w:r>
              <w:rPr>
                <w:rFonts w:ascii="Times New Roman" w:hAnsi="Times New Roman"/>
                <w:sz w:val="20"/>
              </w:rPr>
              <w:t>[#]</w:t>
            </w:r>
          </w:p>
        </w:tc>
        <w:tc>
          <w:tcPr>
            <w:tcW w:type="dxa" w:w="1872"/>
          </w:tcPr>
          <w:p>
            <w:r/>
            <w:r>
              <w:rPr>
                <w:rFonts w:ascii="Times New Roman" w:hAnsi="Times New Roman"/>
                <w:sz w:val="20"/>
              </w:rPr>
              <w:t>[#]</w:t>
            </w:r>
          </w:p>
        </w:tc>
        <w:tc>
          <w:tcPr>
            <w:tcW w:type="dxa" w:w="1584"/>
          </w:tcPr>
          <w:p>
            <w:r/>
            <w:r>
              <w:rPr>
                <w:rFonts w:ascii="Times New Roman" w:hAnsi="Times New Roman"/>
                <w:sz w:val="20"/>
              </w:rPr>
              <w:t>[#]</w:t>
            </w:r>
          </w:p>
        </w:tc>
        <w:tc>
          <w:tcPr>
            <w:tcW w:type="dxa" w:w="1440"/>
          </w:tcPr>
          <w:p>
            <w:r/>
            <w:r>
              <w:rPr>
                <w:rFonts w:ascii="Times New Roman" w:hAnsi="Times New Roman"/>
                <w:sz w:val="20"/>
              </w:rPr>
              <w:t>[#]</w:t>
            </w:r>
          </w:p>
        </w:tc>
      </w:tr>
      <w:tr>
        <w:tc>
          <w:tcPr>
            <w:tcW w:type="dxa" w:w="2592"/>
          </w:tcPr>
          <w:p>
            <w:r/>
            <w:r>
              <w:rPr>
                <w:rFonts w:ascii="Times New Roman" w:hAnsi="Times New Roman"/>
                <w:sz w:val="20"/>
              </w:rPr>
              <w:t>Regulatory</w:t>
            </w:r>
          </w:p>
        </w:tc>
        <w:tc>
          <w:tcPr>
            <w:tcW w:type="dxa" w:w="1872"/>
          </w:tcPr>
          <w:p>
            <w:r/>
            <w:r>
              <w:rPr>
                <w:rFonts w:ascii="Times New Roman" w:hAnsi="Times New Roman"/>
                <w:sz w:val="20"/>
              </w:rPr>
              <w:t>[#]</w:t>
            </w:r>
          </w:p>
        </w:tc>
        <w:tc>
          <w:tcPr>
            <w:tcW w:type="dxa" w:w="1872"/>
          </w:tcPr>
          <w:p>
            <w:r/>
            <w:r>
              <w:rPr>
                <w:rFonts w:ascii="Times New Roman" w:hAnsi="Times New Roman"/>
                <w:sz w:val="20"/>
              </w:rPr>
              <w:t>[#]</w:t>
            </w:r>
          </w:p>
        </w:tc>
        <w:tc>
          <w:tcPr>
            <w:tcW w:type="dxa" w:w="1584"/>
          </w:tcPr>
          <w:p>
            <w:r/>
            <w:r>
              <w:rPr>
                <w:rFonts w:ascii="Times New Roman" w:hAnsi="Times New Roman"/>
                <w:sz w:val="20"/>
              </w:rPr>
              <w:t>[#]</w:t>
            </w:r>
          </w:p>
        </w:tc>
        <w:tc>
          <w:tcPr>
            <w:tcW w:type="dxa" w:w="1440"/>
          </w:tcPr>
          <w:p>
            <w:r/>
            <w:r>
              <w:rPr>
                <w:rFonts w:ascii="Times New Roman" w:hAnsi="Times New Roman"/>
                <w:sz w:val="20"/>
              </w:rPr>
              <w:t>[#]</w:t>
            </w:r>
          </w:p>
        </w:tc>
      </w:tr>
      <w:tr>
        <w:tc>
          <w:tcPr>
            <w:tcW w:type="dxa" w:w="2592"/>
          </w:tcPr>
          <w:p>
            <w:r/>
            <w:r>
              <w:rPr>
                <w:rFonts w:ascii="Times New Roman" w:hAnsi="Times New Roman"/>
                <w:sz w:val="20"/>
              </w:rPr>
              <w:t>Environmental</w:t>
            </w:r>
          </w:p>
        </w:tc>
        <w:tc>
          <w:tcPr>
            <w:tcW w:type="dxa" w:w="1872"/>
          </w:tcPr>
          <w:p>
            <w:r/>
            <w:r>
              <w:rPr>
                <w:rFonts w:ascii="Times New Roman" w:hAnsi="Times New Roman"/>
                <w:sz w:val="20"/>
              </w:rPr>
              <w:t>[#]</w:t>
            </w:r>
          </w:p>
        </w:tc>
        <w:tc>
          <w:tcPr>
            <w:tcW w:type="dxa" w:w="1872"/>
          </w:tcPr>
          <w:p>
            <w:r/>
            <w:r>
              <w:rPr>
                <w:rFonts w:ascii="Times New Roman" w:hAnsi="Times New Roman"/>
                <w:sz w:val="20"/>
              </w:rPr>
              <w:t>[#]</w:t>
            </w:r>
          </w:p>
        </w:tc>
        <w:tc>
          <w:tcPr>
            <w:tcW w:type="dxa" w:w="1584"/>
          </w:tcPr>
          <w:p>
            <w:r/>
            <w:r>
              <w:rPr>
                <w:rFonts w:ascii="Times New Roman" w:hAnsi="Times New Roman"/>
                <w:sz w:val="20"/>
              </w:rPr>
              <w:t>[#]</w:t>
            </w:r>
          </w:p>
        </w:tc>
        <w:tc>
          <w:tcPr>
            <w:tcW w:type="dxa" w:w="1440"/>
          </w:tcPr>
          <w:p>
            <w:r/>
            <w:r>
              <w:rPr>
                <w:rFonts w:ascii="Times New Roman" w:hAnsi="Times New Roman"/>
                <w:sz w:val="20"/>
              </w:rPr>
              <w:t>[#]</w:t>
            </w:r>
          </w:p>
        </w:tc>
      </w:tr>
      <w:tr>
        <w:tc>
          <w:tcPr>
            <w:tcW w:type="dxa" w:w="2592"/>
          </w:tcPr>
          <w:p>
            <w:r/>
            <w:r>
              <w:rPr>
                <w:rFonts w:ascii="Times New Roman" w:hAnsi="Times New Roman"/>
                <w:sz w:val="20"/>
              </w:rPr>
              <w:t>TOTAL</w:t>
            </w:r>
          </w:p>
        </w:tc>
        <w:tc>
          <w:tcPr>
            <w:tcW w:type="dxa" w:w="1872"/>
          </w:tcPr>
          <w:p>
            <w:r/>
            <w:r>
              <w:rPr>
                <w:rFonts w:ascii="Times New Roman" w:hAnsi="Times New Roman"/>
                <w:sz w:val="20"/>
              </w:rPr>
              <w:t>[#]</w:t>
            </w:r>
          </w:p>
        </w:tc>
        <w:tc>
          <w:tcPr>
            <w:tcW w:type="dxa" w:w="1872"/>
          </w:tcPr>
          <w:p>
            <w:r/>
            <w:r>
              <w:rPr>
                <w:rFonts w:ascii="Times New Roman" w:hAnsi="Times New Roman"/>
                <w:sz w:val="20"/>
              </w:rPr>
              <w:t>[#]</w:t>
            </w:r>
          </w:p>
        </w:tc>
        <w:tc>
          <w:tcPr>
            <w:tcW w:type="dxa" w:w="1584"/>
          </w:tcPr>
          <w:p>
            <w:r/>
            <w:r>
              <w:rPr>
                <w:rFonts w:ascii="Times New Roman" w:hAnsi="Times New Roman"/>
                <w:sz w:val="20"/>
              </w:rPr>
              <w:t>[#]</w:t>
            </w:r>
          </w:p>
        </w:tc>
        <w:tc>
          <w:tcPr>
            <w:tcW w:type="dxa" w:w="1440"/>
          </w:tcPr>
          <w:p>
            <w:r/>
            <w:r>
              <w:rPr>
                <w:rFonts w:ascii="Times New Roman" w:hAnsi="Times New Roman"/>
                <w:sz w:val="20"/>
              </w:rPr>
              <w:t>[#]</w:t>
            </w:r>
          </w:p>
        </w:tc>
      </w:tr>
    </w:tbl>
    <w:p/>
    <w:p>
      <w:pPr>
        <w:spacing w:after="120"/>
      </w:pPr>
      <w:r>
        <w:rPr>
          <w:rFonts w:ascii="Times New Roman" w:hAnsi="Times New Roman"/>
          <w:b/>
          <w:sz w:val="24"/>
        </w:rPr>
        <w:t>Section 2: Financial Exposure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fill="D9E2F3" w:val="clear"/>
          </w:tcPr>
          <w:p>
            <w:pPr>
              <w:jc w:val="center"/>
            </w:pPr>
            <w:r/>
            <w:r>
              <w:rPr>
                <w:rFonts w:ascii="Times New Roman" w:hAnsi="Times New Roman"/>
                <w:b/>
                <w:sz w:val="20"/>
              </w:rPr>
              <w:t>Risk Level</w:t>
            </w:r>
          </w:p>
        </w:tc>
        <w:tc>
          <w:tcPr>
            <w:tcW w:type="dxa" w:w="2304"/>
            <w:shd w:fill="D9E2F3" w:val="clear"/>
          </w:tcPr>
          <w:p>
            <w:pPr>
              <w:jc w:val="center"/>
            </w:pPr>
            <w:r/>
            <w:r>
              <w:rPr>
                <w:rFonts w:ascii="Times New Roman" w:hAnsi="Times New Roman"/>
                <w:b/>
                <w:sz w:val="20"/>
              </w:rPr>
              <w:t>Number of Matters</w:t>
            </w:r>
          </w:p>
        </w:tc>
        <w:tc>
          <w:tcPr>
            <w:tcW w:type="dxa" w:w="2448"/>
            <w:shd w:fill="D9E2F3" w:val="clear"/>
          </w:tcPr>
          <w:p>
            <w:pPr>
              <w:jc w:val="center"/>
            </w:pPr>
            <w:r/>
            <w:r>
              <w:rPr>
                <w:rFonts w:ascii="Times New Roman" w:hAnsi="Times New Roman"/>
                <w:b/>
                <w:sz w:val="20"/>
              </w:rPr>
              <w:t>Estimated Exposure Range</w:t>
            </w:r>
          </w:p>
        </w:tc>
        <w:tc>
          <w:tcPr>
            <w:tcW w:type="dxa" w:w="2304"/>
            <w:shd w:fill="D9E2F3" w:val="clear"/>
          </w:tcPr>
          <w:p>
            <w:pPr>
              <w:jc w:val="center"/>
            </w:pPr>
            <w:r/>
            <w:r>
              <w:rPr>
                <w:rFonts w:ascii="Times New Roman" w:hAnsi="Times New Roman"/>
                <w:b/>
                <w:sz w:val="20"/>
              </w:rPr>
              <w:t>Current Reserves</w:t>
            </w:r>
          </w:p>
        </w:tc>
      </w:tr>
      <w:tr>
        <w:tc>
          <w:tcPr>
            <w:tcW w:type="dxa" w:w="2304"/>
          </w:tcPr>
          <w:p>
            <w:r/>
            <w:r>
              <w:rPr>
                <w:rFonts w:ascii="Times New Roman" w:hAnsi="Times New Roman"/>
                <w:sz w:val="20"/>
              </w:rPr>
              <w:t>High</w:t>
            </w:r>
          </w:p>
        </w:tc>
        <w:tc>
          <w:tcPr>
            <w:tcW w:type="dxa" w:w="2304"/>
          </w:tcPr>
          <w:p>
            <w:r/>
            <w:r>
              <w:rPr>
                <w:rFonts w:ascii="Times New Roman" w:hAnsi="Times New Roman"/>
                <w:sz w:val="20"/>
              </w:rPr>
              <w:t>[#]</w:t>
            </w:r>
          </w:p>
        </w:tc>
        <w:tc>
          <w:tcPr>
            <w:tcW w:type="dxa" w:w="2448"/>
          </w:tcPr>
          <w:p>
            <w:r/>
            <w:r>
              <w:rPr>
                <w:rFonts w:ascii="Times New Roman" w:hAnsi="Times New Roman"/>
                <w:sz w:val="20"/>
              </w:rPr>
              <w:t>$[X] – $[Y]</w:t>
            </w:r>
          </w:p>
        </w:tc>
        <w:tc>
          <w:tcPr>
            <w:tcW w:type="dxa" w:w="2304"/>
          </w:tcPr>
          <w:p>
            <w:r/>
            <w:r>
              <w:rPr>
                <w:rFonts w:ascii="Times New Roman" w:hAnsi="Times New Roman"/>
                <w:sz w:val="20"/>
              </w:rPr>
              <w:t>$[amount]</w:t>
            </w:r>
          </w:p>
        </w:tc>
      </w:tr>
      <w:tr>
        <w:tc>
          <w:tcPr>
            <w:tcW w:type="dxa" w:w="2304"/>
          </w:tcPr>
          <w:p>
            <w:r/>
            <w:r>
              <w:rPr>
                <w:rFonts w:ascii="Times New Roman" w:hAnsi="Times New Roman"/>
                <w:sz w:val="20"/>
              </w:rPr>
              <w:t>Medium</w:t>
            </w:r>
          </w:p>
        </w:tc>
        <w:tc>
          <w:tcPr>
            <w:tcW w:type="dxa" w:w="2304"/>
          </w:tcPr>
          <w:p>
            <w:r/>
            <w:r>
              <w:rPr>
                <w:rFonts w:ascii="Times New Roman" w:hAnsi="Times New Roman"/>
                <w:sz w:val="20"/>
              </w:rPr>
              <w:t>[#]</w:t>
            </w:r>
          </w:p>
        </w:tc>
        <w:tc>
          <w:tcPr>
            <w:tcW w:type="dxa" w:w="2448"/>
          </w:tcPr>
          <w:p>
            <w:r/>
            <w:r>
              <w:rPr>
                <w:rFonts w:ascii="Times New Roman" w:hAnsi="Times New Roman"/>
                <w:sz w:val="20"/>
              </w:rPr>
              <w:t>$[X] – $[Y]</w:t>
            </w:r>
          </w:p>
        </w:tc>
        <w:tc>
          <w:tcPr>
            <w:tcW w:type="dxa" w:w="2304"/>
          </w:tcPr>
          <w:p>
            <w:r/>
            <w:r>
              <w:rPr>
                <w:rFonts w:ascii="Times New Roman" w:hAnsi="Times New Roman"/>
                <w:sz w:val="20"/>
              </w:rPr>
              <w:t>$[amount]</w:t>
            </w:r>
          </w:p>
        </w:tc>
      </w:tr>
      <w:tr>
        <w:tc>
          <w:tcPr>
            <w:tcW w:type="dxa" w:w="2304"/>
          </w:tcPr>
          <w:p>
            <w:r/>
            <w:r>
              <w:rPr>
                <w:rFonts w:ascii="Times New Roman" w:hAnsi="Times New Roman"/>
                <w:sz w:val="20"/>
              </w:rPr>
              <w:t>Low</w:t>
            </w:r>
          </w:p>
        </w:tc>
        <w:tc>
          <w:tcPr>
            <w:tcW w:type="dxa" w:w="2304"/>
          </w:tcPr>
          <w:p>
            <w:r/>
            <w:r>
              <w:rPr>
                <w:rFonts w:ascii="Times New Roman" w:hAnsi="Times New Roman"/>
                <w:sz w:val="20"/>
              </w:rPr>
              <w:t>[#]</w:t>
            </w:r>
          </w:p>
        </w:tc>
        <w:tc>
          <w:tcPr>
            <w:tcW w:type="dxa" w:w="2448"/>
          </w:tcPr>
          <w:p>
            <w:r/>
            <w:r>
              <w:rPr>
                <w:rFonts w:ascii="Times New Roman" w:hAnsi="Times New Roman"/>
                <w:sz w:val="20"/>
              </w:rPr>
              <w:t>$[X] – $[Y]</w:t>
            </w:r>
          </w:p>
        </w:tc>
        <w:tc>
          <w:tcPr>
            <w:tcW w:type="dxa" w:w="2304"/>
          </w:tcPr>
          <w:p>
            <w:r/>
            <w:r>
              <w:rPr>
                <w:rFonts w:ascii="Times New Roman" w:hAnsi="Times New Roman"/>
                <w:sz w:val="20"/>
              </w:rPr>
              <w:t>$[amount]</w:t>
            </w:r>
          </w:p>
        </w:tc>
      </w:tr>
      <w:tr>
        <w:tc>
          <w:tcPr>
            <w:tcW w:type="dxa" w:w="2304"/>
          </w:tcPr>
          <w:p>
            <w:r/>
            <w:r>
              <w:rPr>
                <w:rFonts w:ascii="Times New Roman" w:hAnsi="Times New Roman"/>
                <w:sz w:val="20"/>
              </w:rPr>
              <w:t>TOTAL</w:t>
            </w:r>
          </w:p>
        </w:tc>
        <w:tc>
          <w:tcPr>
            <w:tcW w:type="dxa" w:w="2304"/>
          </w:tcPr>
          <w:p>
            <w:r/>
            <w:r>
              <w:rPr>
                <w:rFonts w:ascii="Times New Roman" w:hAnsi="Times New Roman"/>
                <w:sz w:val="20"/>
              </w:rPr>
              <w:t>[#]</w:t>
            </w:r>
          </w:p>
        </w:tc>
        <w:tc>
          <w:tcPr>
            <w:tcW w:type="dxa" w:w="2448"/>
          </w:tcPr>
          <w:p>
            <w:r/>
            <w:r>
              <w:rPr>
                <w:rFonts w:ascii="Times New Roman" w:hAnsi="Times New Roman"/>
                <w:sz w:val="20"/>
              </w:rPr>
              <w:t>$[X] – $[Y]</w:t>
            </w:r>
          </w:p>
        </w:tc>
        <w:tc>
          <w:tcPr>
            <w:tcW w:type="dxa" w:w="2304"/>
          </w:tcPr>
          <w:p>
            <w:r/>
            <w:r>
              <w:rPr>
                <w:rFonts w:ascii="Times New Roman" w:hAnsi="Times New Roman"/>
                <w:sz w:val="20"/>
              </w:rPr>
              <w:t>$[amount]</w:t>
            </w:r>
          </w:p>
        </w:tc>
      </w:tr>
    </w:tbl>
    <w:p/>
    <w:p>
      <w:pPr>
        <w:spacing w:after="120"/>
      </w:pPr>
      <w:r>
        <w:rPr>
          <w:rFonts w:ascii="Times New Roman" w:hAnsi="Times New Roman"/>
          <w:b/>
          <w:sz w:val="24"/>
        </w:rPr>
        <w:t>Section 3: Key Developments</w:t>
      </w:r>
    </w:p>
    <w:p>
      <w:pPr>
        <w:spacing w:after="120"/>
      </w:pPr>
      <w:r>
        <w:rPr>
          <w:rFonts w:ascii="Times New Roman" w:hAnsi="Times New Roman"/>
          <w:sz w:val="24"/>
        </w:rPr>
        <w:t>A short narrative covering what happened this period, including:</w:t>
      </w:r>
    </w:p>
    <w:p>
      <w:pPr>
        <w:pStyle w:val="ListBullet"/>
      </w:pPr>
      <w:r>
        <w:rPr>
          <w:rFonts w:ascii="Times New Roman" w:hAnsi="Times New Roman"/>
          <w:sz w:val="24"/>
        </w:rPr>
        <w:t>New matters opened.</w:t>
      </w:r>
    </w:p>
    <w:p>
      <w:pPr>
        <w:pStyle w:val="ListBullet"/>
      </w:pPr>
      <w:r>
        <w:rPr>
          <w:rFonts w:ascii="Times New Roman" w:hAnsi="Times New Roman"/>
          <w:sz w:val="24"/>
        </w:rPr>
        <w:t>Matters resolved or settled.</w:t>
      </w:r>
    </w:p>
    <w:p>
      <w:pPr>
        <w:pStyle w:val="ListBullet"/>
      </w:pPr>
      <w:r>
        <w:rPr>
          <w:rFonts w:ascii="Times New Roman" w:hAnsi="Times New Roman"/>
          <w:sz w:val="24"/>
        </w:rPr>
        <w:t>Big changes in risk rating or exposure.</w:t>
      </w:r>
    </w:p>
    <w:p>
      <w:pPr>
        <w:pStyle w:val="ListBullet"/>
      </w:pPr>
      <w:r>
        <w:rPr>
          <w:rFonts w:ascii="Times New Roman" w:hAnsi="Times New Roman"/>
          <w:sz w:val="24"/>
        </w:rPr>
        <w:t>Upcoming deadlines or decisions needing executive attention.</w:t>
      </w:r>
    </w:p>
    <w:p>
      <w:pPr>
        <w:pStyle w:val="ListBullet"/>
      </w:pPr>
      <w:r>
        <w:rPr>
          <w:rFonts w:ascii="Times New Roman" w:hAnsi="Times New Roman"/>
          <w:sz w:val="24"/>
        </w:rPr>
        <w:t>Trends or recurring issues worth watching.</w:t>
      </w:r>
    </w:p>
    <w:p>
      <w:pPr>
        <w:spacing w:after="120"/>
      </w:pPr>
      <w:r>
        <w:rPr>
          <w:rFonts w:ascii="Times New Roman" w:hAnsi="Times New Roman"/>
          <w:b/>
          <w:sz w:val="24"/>
        </w:rPr>
        <w:t>Section 4: Legal Spend Summary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592"/>
            <w:shd w:fill="D9E2F3" w:val="clear"/>
          </w:tcPr>
          <w:p>
            <w:pPr>
              <w:jc w:val="center"/>
            </w:pPr>
            <w:r/>
            <w:r>
              <w:rPr>
                <w:rFonts w:ascii="Times New Roman" w:hAnsi="Times New Roman"/>
                <w:b/>
                <w:sz w:val="20"/>
              </w:rPr>
              <w:t>Category</w:t>
            </w:r>
          </w:p>
        </w:tc>
        <w:tc>
          <w:tcPr>
            <w:tcW w:type="dxa" w:w="1872"/>
            <w:shd w:fill="D9E2F3" w:val="clear"/>
          </w:tcPr>
          <w:p>
            <w:pPr>
              <w:jc w:val="center"/>
            </w:pPr>
            <w:r/>
            <w:r>
              <w:rPr>
                <w:rFonts w:ascii="Times New Roman" w:hAnsi="Times New Roman"/>
                <w:b/>
                <w:sz w:val="20"/>
              </w:rPr>
              <w:t>YTD Actual</w:t>
            </w:r>
          </w:p>
        </w:tc>
        <w:tc>
          <w:tcPr>
            <w:tcW w:type="dxa" w:w="1872"/>
            <w:shd w:fill="D9E2F3" w:val="clear"/>
          </w:tcPr>
          <w:p>
            <w:pPr>
              <w:jc w:val="center"/>
            </w:pPr>
            <w:r/>
            <w:r>
              <w:rPr>
                <w:rFonts w:ascii="Times New Roman" w:hAnsi="Times New Roman"/>
                <w:b/>
                <w:sz w:val="20"/>
              </w:rPr>
              <w:t>YTD Budget</w:t>
            </w:r>
          </w:p>
        </w:tc>
        <w:tc>
          <w:tcPr>
            <w:tcW w:type="dxa" w:w="1584"/>
            <w:shd w:fill="D9E2F3" w:val="clear"/>
          </w:tcPr>
          <w:p>
            <w:pPr>
              <w:jc w:val="center"/>
            </w:pPr>
            <w:r/>
            <w:r>
              <w:rPr>
                <w:rFonts w:ascii="Times New Roman" w:hAnsi="Times New Roman"/>
                <w:b/>
                <w:sz w:val="20"/>
              </w:rPr>
              <w:t>Variance</w:t>
            </w:r>
          </w:p>
        </w:tc>
        <w:tc>
          <w:tcPr>
            <w:tcW w:type="dxa" w:w="1440"/>
            <w:shd w:fill="D9E2F3" w:val="clear"/>
          </w:tcPr>
          <w:p>
            <w:pPr>
              <w:jc w:val="center"/>
            </w:pPr>
            <w:r/>
            <w:r>
              <w:rPr>
                <w:rFonts w:ascii="Times New Roman" w:hAnsi="Times New Roman"/>
                <w:b/>
                <w:sz w:val="20"/>
              </w:rPr>
              <w:t>Forecast</w:t>
            </w:r>
          </w:p>
        </w:tc>
      </w:tr>
      <w:tr>
        <w:tc>
          <w:tcPr>
            <w:tcW w:type="dxa" w:w="2592"/>
          </w:tcPr>
          <w:p>
            <w:r/>
            <w:r>
              <w:rPr>
                <w:rFonts w:ascii="Times New Roman" w:hAnsi="Times New Roman"/>
                <w:sz w:val="20"/>
              </w:rPr>
              <w:t>Litigation</w:t>
            </w:r>
          </w:p>
        </w:tc>
        <w:tc>
          <w:tcPr>
            <w:tcW w:type="dxa" w:w="1872"/>
          </w:tcPr>
          <w:p>
            <w:r/>
            <w:r>
              <w:rPr>
                <w:rFonts w:ascii="Times New Roman" w:hAnsi="Times New Roman"/>
                <w:sz w:val="20"/>
              </w:rPr>
              <w:t>$[X]</w:t>
            </w:r>
          </w:p>
        </w:tc>
        <w:tc>
          <w:tcPr>
            <w:tcW w:type="dxa" w:w="1872"/>
          </w:tcPr>
          <w:p>
            <w:r/>
            <w:r>
              <w:rPr>
                <w:rFonts w:ascii="Times New Roman" w:hAnsi="Times New Roman"/>
                <w:sz w:val="20"/>
              </w:rPr>
              <w:t>$[X]</w:t>
            </w:r>
          </w:p>
        </w:tc>
        <w:tc>
          <w:tcPr>
            <w:tcW w:type="dxa" w:w="1584"/>
          </w:tcPr>
          <w:p>
            <w:r/>
            <w:r>
              <w:rPr>
                <w:rFonts w:ascii="Times New Roman" w:hAnsi="Times New Roman"/>
                <w:sz w:val="20"/>
              </w:rPr>
              <w:t>$[X]</w:t>
            </w:r>
          </w:p>
        </w:tc>
        <w:tc>
          <w:tcPr>
            <w:tcW w:type="dxa" w:w="1440"/>
          </w:tcPr>
          <w:p>
            <w:r/>
            <w:r>
              <w:rPr>
                <w:rFonts w:ascii="Times New Roman" w:hAnsi="Times New Roman"/>
                <w:sz w:val="20"/>
              </w:rPr>
              <w:t>$[X]</w:t>
            </w:r>
          </w:p>
        </w:tc>
      </w:tr>
      <w:tr>
        <w:tc>
          <w:tcPr>
            <w:tcW w:type="dxa" w:w="2592"/>
          </w:tcPr>
          <w:p>
            <w:r/>
            <w:r>
              <w:rPr>
                <w:rFonts w:ascii="Times New Roman" w:hAnsi="Times New Roman"/>
                <w:sz w:val="20"/>
              </w:rPr>
              <w:t>Transactional</w:t>
            </w:r>
          </w:p>
        </w:tc>
        <w:tc>
          <w:tcPr>
            <w:tcW w:type="dxa" w:w="1872"/>
          </w:tcPr>
          <w:p>
            <w:r/>
            <w:r>
              <w:rPr>
                <w:rFonts w:ascii="Times New Roman" w:hAnsi="Times New Roman"/>
                <w:sz w:val="20"/>
              </w:rPr>
              <w:t>$[X]</w:t>
            </w:r>
          </w:p>
        </w:tc>
        <w:tc>
          <w:tcPr>
            <w:tcW w:type="dxa" w:w="1872"/>
          </w:tcPr>
          <w:p>
            <w:r/>
            <w:r>
              <w:rPr>
                <w:rFonts w:ascii="Times New Roman" w:hAnsi="Times New Roman"/>
                <w:sz w:val="20"/>
              </w:rPr>
              <w:t>$[X]</w:t>
            </w:r>
          </w:p>
        </w:tc>
        <w:tc>
          <w:tcPr>
            <w:tcW w:type="dxa" w:w="1584"/>
          </w:tcPr>
          <w:p>
            <w:r/>
            <w:r>
              <w:rPr>
                <w:rFonts w:ascii="Times New Roman" w:hAnsi="Times New Roman"/>
                <w:sz w:val="20"/>
              </w:rPr>
              <w:t>$[X]</w:t>
            </w:r>
          </w:p>
        </w:tc>
        <w:tc>
          <w:tcPr>
            <w:tcW w:type="dxa" w:w="1440"/>
          </w:tcPr>
          <w:p>
            <w:r/>
            <w:r>
              <w:rPr>
                <w:rFonts w:ascii="Times New Roman" w:hAnsi="Times New Roman"/>
                <w:sz w:val="20"/>
              </w:rPr>
              <w:t>$[X]</w:t>
            </w:r>
          </w:p>
        </w:tc>
      </w:tr>
      <w:tr>
        <w:tc>
          <w:tcPr>
            <w:tcW w:type="dxa" w:w="2592"/>
          </w:tcPr>
          <w:p>
            <w:r/>
            <w:r>
              <w:rPr>
                <w:rFonts w:ascii="Times New Roman" w:hAnsi="Times New Roman"/>
                <w:sz w:val="20"/>
              </w:rPr>
              <w:t>Regulatory/Compliance</w:t>
            </w:r>
          </w:p>
        </w:tc>
        <w:tc>
          <w:tcPr>
            <w:tcW w:type="dxa" w:w="1872"/>
          </w:tcPr>
          <w:p>
            <w:r/>
            <w:r>
              <w:rPr>
                <w:rFonts w:ascii="Times New Roman" w:hAnsi="Times New Roman"/>
                <w:sz w:val="20"/>
              </w:rPr>
              <w:t>$[X]</w:t>
            </w:r>
          </w:p>
        </w:tc>
        <w:tc>
          <w:tcPr>
            <w:tcW w:type="dxa" w:w="1872"/>
          </w:tcPr>
          <w:p>
            <w:r/>
            <w:r>
              <w:rPr>
                <w:rFonts w:ascii="Times New Roman" w:hAnsi="Times New Roman"/>
                <w:sz w:val="20"/>
              </w:rPr>
              <w:t>$[X]</w:t>
            </w:r>
          </w:p>
        </w:tc>
        <w:tc>
          <w:tcPr>
            <w:tcW w:type="dxa" w:w="1584"/>
          </w:tcPr>
          <w:p>
            <w:r/>
            <w:r>
              <w:rPr>
                <w:rFonts w:ascii="Times New Roman" w:hAnsi="Times New Roman"/>
                <w:sz w:val="20"/>
              </w:rPr>
              <w:t>$[X]</w:t>
            </w:r>
          </w:p>
        </w:tc>
        <w:tc>
          <w:tcPr>
            <w:tcW w:type="dxa" w:w="1440"/>
          </w:tcPr>
          <w:p>
            <w:r/>
            <w:r>
              <w:rPr>
                <w:rFonts w:ascii="Times New Roman" w:hAnsi="Times New Roman"/>
                <w:sz w:val="20"/>
              </w:rPr>
              <w:t>$[X]</w:t>
            </w:r>
          </w:p>
        </w:tc>
      </w:tr>
      <w:tr>
        <w:tc>
          <w:tcPr>
            <w:tcW w:type="dxa" w:w="2592"/>
          </w:tcPr>
          <w:p>
            <w:r/>
            <w:r>
              <w:rPr>
                <w:rFonts w:ascii="Times New Roman" w:hAnsi="Times New Roman"/>
                <w:sz w:val="20"/>
              </w:rPr>
              <w:t>TOTAL</w:t>
            </w:r>
          </w:p>
        </w:tc>
        <w:tc>
          <w:tcPr>
            <w:tcW w:type="dxa" w:w="1872"/>
          </w:tcPr>
          <w:p>
            <w:r/>
            <w:r>
              <w:rPr>
                <w:rFonts w:ascii="Times New Roman" w:hAnsi="Times New Roman"/>
                <w:sz w:val="20"/>
              </w:rPr>
              <w:t>$[X]</w:t>
            </w:r>
          </w:p>
        </w:tc>
        <w:tc>
          <w:tcPr>
            <w:tcW w:type="dxa" w:w="1872"/>
          </w:tcPr>
          <w:p>
            <w:r/>
            <w:r>
              <w:rPr>
                <w:rFonts w:ascii="Times New Roman" w:hAnsi="Times New Roman"/>
                <w:sz w:val="20"/>
              </w:rPr>
              <w:t>$[X]</w:t>
            </w:r>
          </w:p>
        </w:tc>
        <w:tc>
          <w:tcPr>
            <w:tcW w:type="dxa" w:w="1584"/>
          </w:tcPr>
          <w:p>
            <w:r/>
            <w:r>
              <w:rPr>
                <w:rFonts w:ascii="Times New Roman" w:hAnsi="Times New Roman"/>
                <w:sz w:val="20"/>
              </w:rPr>
              <w:t>$[X]</w:t>
            </w:r>
          </w:p>
        </w:tc>
        <w:tc>
          <w:tcPr>
            <w:tcW w:type="dxa" w:w="1440"/>
          </w:tcPr>
          <w:p>
            <w:r/>
            <w:r>
              <w:rPr>
                <w:rFonts w:ascii="Times New Roman" w:hAnsi="Times New Roman"/>
                <w:sz w:val="20"/>
              </w:rPr>
              <w:t>$[X]</w:t>
            </w:r>
          </w:p>
        </w:tc>
      </w:tr>
    </w:tbl>
    <w:p/>
    <w:p>
      <w:pPr>
        <w:spacing w:after="120"/>
      </w:pPr>
      <w:r>
        <w:rPr>
          <w:rFonts w:ascii="Times New Roman" w:hAnsi="Times New Roman"/>
          <w:b/>
          <w:sz w:val="24"/>
        </w:rPr>
        <w:t>Section 5: Action Items</w:t>
      </w:r>
    </w:p>
    <w:p>
      <w:pPr>
        <w:spacing w:after="120"/>
      </w:pPr>
      <w:r>
        <w:rPr>
          <w:rFonts w:ascii="Times New Roman" w:hAnsi="Times New Roman"/>
          <w:sz w:val="24"/>
        </w:rPr>
        <w:t>Decisions or approvals the executives or Board need to make, with recommended actions and deadlines.</w:t>
      </w:r>
    </w:p>
    <w:p>
      <w:r>
        <w:br w:type="page"/>
      </w:r>
    </w:p>
    <w:p>
      <w:pPr>
        <w:spacing w:before="480" w:after="240"/>
      </w:pPr>
      <w:r>
        <w:rPr>
          <w:rFonts w:ascii="Times New Roman" w:hAnsi="Times New Roman"/>
          <w:b/>
          <w:sz w:val="24"/>
        </w:rPr>
        <w:t>ATTACHMENT C: OUTSIDE COUNSEL BILLING GUIDELINES</w:t>
      </w:r>
    </w:p>
    <w:p>
      <w:pPr>
        <w:spacing w:after="120"/>
      </w:pPr>
      <w:r>
        <w:rPr>
          <w:rFonts w:ascii="Times New Roman" w:hAnsi="Times New Roman"/>
          <w:sz w:val="24"/>
        </w:rPr>
        <w:t>These rules apply to every outside law firm PIR Industrial LLC hires. Firms must read and follow these as a condition of engagement. Legal can update these rules at any time.</w:t>
      </w:r>
    </w:p>
    <w:p>
      <w:pPr>
        <w:spacing w:before="360" w:after="200"/>
      </w:pPr>
      <w:r>
        <w:rPr>
          <w:rFonts w:ascii="Times New Roman" w:hAnsi="Times New Roman"/>
          <w:b/>
          <w:sz w:val="24"/>
          <w:u w:val="single"/>
        </w:rPr>
        <w:t>1. Billing Rates</w:t>
      </w:r>
    </w:p>
    <w:p>
      <w:pPr>
        <w:pStyle w:val="ListBullet"/>
      </w:pPr>
      <w:r>
        <w:rPr>
          <w:rFonts w:ascii="Times New Roman" w:hAnsi="Times New Roman"/>
          <w:sz w:val="24"/>
        </w:rPr>
        <w:t>Put the rate schedule in writing before any work starts.</w:t>
      </w:r>
    </w:p>
    <w:p>
      <w:pPr>
        <w:pStyle w:val="ListBullet"/>
      </w:pPr>
      <w:r>
        <w:rPr>
          <w:rFonts w:ascii="Times New Roman" w:hAnsi="Times New Roman"/>
          <w:sz w:val="24"/>
        </w:rPr>
        <w:t>Any annual rate increase needs GC approval up front.</w:t>
      </w:r>
    </w:p>
    <w:p>
      <w:pPr>
        <w:pStyle w:val="ListBullet"/>
      </w:pPr>
      <w:r>
        <w:rPr>
          <w:rFonts w:ascii="Times New Roman" w:hAnsi="Times New Roman"/>
          <w:sz w:val="24"/>
        </w:rPr>
        <w:t>Maximum hourly rates: Partner $[X]/hr; Senior Associate $[X]/hr; Associate $[X]/hr; Paralegal $[X]/hr.</w:t>
      </w:r>
    </w:p>
    <w:p>
      <w:pPr>
        <w:pStyle w:val="ListBullet"/>
      </w:pPr>
      <w:r>
        <w:rPr>
          <w:rFonts w:ascii="Times New Roman" w:hAnsi="Times New Roman"/>
          <w:sz w:val="24"/>
        </w:rPr>
        <w:t>Blended and alternative fee arrangements are welcome but need GC approval.</w:t>
      </w:r>
    </w:p>
    <w:p>
      <w:pPr>
        <w:spacing w:before="360" w:after="200"/>
      </w:pPr>
      <w:r>
        <w:rPr>
          <w:rFonts w:ascii="Times New Roman" w:hAnsi="Times New Roman"/>
          <w:b/>
          <w:sz w:val="24"/>
          <w:u w:val="single"/>
        </w:rPr>
        <w:t>2. Staffing</w:t>
      </w:r>
    </w:p>
    <w:p>
      <w:pPr>
        <w:pStyle w:val="ListBullet"/>
      </w:pPr>
      <w:r>
        <w:rPr>
          <w:rFonts w:ascii="Times New Roman" w:hAnsi="Times New Roman"/>
          <w:sz w:val="24"/>
        </w:rPr>
        <w:t>Staff lean. Match the team to the complexity of the matter.</w:t>
      </w:r>
    </w:p>
    <w:p>
      <w:pPr>
        <w:pStyle w:val="ListBullet"/>
      </w:pPr>
      <w:r>
        <w:rPr>
          <w:rFonts w:ascii="Times New Roman" w:hAnsi="Times New Roman"/>
          <w:sz w:val="24"/>
        </w:rPr>
        <w:t>Name the responsible partner in the engagement letter. Don't change them without prior approval.</w:t>
      </w:r>
    </w:p>
    <w:p>
      <w:pPr>
        <w:pStyle w:val="ListBullet"/>
      </w:pPr>
      <w:r>
        <w:rPr>
          <w:rFonts w:ascii="Times New Roman" w:hAnsi="Times New Roman"/>
          <w:sz w:val="24"/>
        </w:rPr>
        <w:t>Delegate to the lowest-cost attorney who can do the work well.</w:t>
      </w:r>
    </w:p>
    <w:p>
      <w:pPr>
        <w:pStyle w:val="ListBullet"/>
      </w:pPr>
      <w:r>
        <w:rPr>
          <w:rFonts w:ascii="Times New Roman" w:hAnsi="Times New Roman"/>
          <w:sz w:val="24"/>
        </w:rPr>
        <w:t>No more than two attorneys at a deposition, hearing, or meeting without prior approval.</w:t>
      </w:r>
    </w:p>
    <w:p>
      <w:pPr>
        <w:pStyle w:val="ListBullet"/>
      </w:pPr>
      <w:r>
        <w:rPr>
          <w:rFonts w:ascii="Times New Roman" w:hAnsi="Times New Roman"/>
          <w:sz w:val="24"/>
        </w:rPr>
        <w:t>Summer associates and first-year associates can't bill the Company without prior approval.</w:t>
      </w:r>
    </w:p>
    <w:p>
      <w:pPr>
        <w:spacing w:before="360" w:after="200"/>
      </w:pPr>
      <w:r>
        <w:rPr>
          <w:rFonts w:ascii="Times New Roman" w:hAnsi="Times New Roman"/>
          <w:b/>
          <w:sz w:val="24"/>
          <w:u w:val="single"/>
        </w:rPr>
        <w:t>3. Invoices</w:t>
      </w:r>
    </w:p>
    <w:p>
      <w:pPr>
        <w:pStyle w:val="ListBullet"/>
      </w:pPr>
      <w:r>
        <w:rPr>
          <w:rFonts w:ascii="Times New Roman" w:hAnsi="Times New Roman"/>
          <w:sz w:val="24"/>
        </w:rPr>
        <w:t>Submit invoices monthly, within 45 days of the end of the billing period.</w:t>
      </w:r>
    </w:p>
    <w:p>
      <w:pPr>
        <w:pStyle w:val="ListBullet"/>
      </w:pPr>
      <w:r>
        <w:rPr>
          <w:rFonts w:ascii="Times New Roman" w:hAnsi="Times New Roman"/>
          <w:sz w:val="24"/>
        </w:rPr>
        <w:t>Every invoice must include: matter name and number, work description by timekeeper, hours, rate, and total fees.</w:t>
      </w:r>
    </w:p>
    <w:p>
      <w:pPr>
        <w:pStyle w:val="ListBullet"/>
      </w:pPr>
      <w:r>
        <w:rPr>
          <w:rFonts w:ascii="Times New Roman" w:hAnsi="Times New Roman"/>
          <w:sz w:val="24"/>
        </w:rPr>
        <w:t>Time entries in tenths of an hour (0.1) or finer. No longer blocks.</w:t>
      </w:r>
    </w:p>
    <w:p>
      <w:pPr>
        <w:pStyle w:val="ListBullet"/>
      </w:pPr>
      <w:r>
        <w:rPr>
          <w:rFonts w:ascii="Times New Roman" w:hAnsi="Times New Roman"/>
          <w:sz w:val="24"/>
        </w:rPr>
        <w:t>No block billing (multiple tasks in one time entry).</w:t>
      </w:r>
    </w:p>
    <w:p>
      <w:pPr>
        <w:pStyle w:val="ListBullet"/>
      </w:pPr>
      <w:r>
        <w:rPr>
          <w:rFonts w:ascii="Times New Roman" w:hAnsi="Times New Roman"/>
          <w:sz w:val="24"/>
        </w:rPr>
        <w:t>No vague entries like "research," "review documents," or "attend to matter." Say what you did.</w:t>
      </w:r>
    </w:p>
    <w:p>
      <w:pPr>
        <w:spacing w:before="360" w:after="200"/>
      </w:pPr>
      <w:r>
        <w:rPr>
          <w:rFonts w:ascii="Times New Roman" w:hAnsi="Times New Roman"/>
          <w:b/>
          <w:sz w:val="24"/>
          <w:u w:val="single"/>
        </w:rPr>
        <w:t>4. Charges We Won't Pay</w:t>
      </w:r>
    </w:p>
    <w:p>
      <w:pPr>
        <w:spacing w:after="120"/>
      </w:pPr>
      <w:r>
        <w:rPr>
          <w:rFonts w:ascii="Times New Roman" w:hAnsi="Times New Roman"/>
          <w:sz w:val="24"/>
        </w:rPr>
        <w:t>We won't reimburse:</w:t>
      </w:r>
    </w:p>
    <w:p>
      <w:pPr>
        <w:pStyle w:val="ListBullet"/>
      </w:pPr>
      <w:r>
        <w:rPr>
          <w:rFonts w:ascii="Times New Roman" w:hAnsi="Times New Roman"/>
          <w:sz w:val="24"/>
        </w:rPr>
        <w:t>Firm overhead (word processing, secretarial, filing, internal copying).</w:t>
      </w:r>
    </w:p>
    <w:p>
      <w:pPr>
        <w:pStyle w:val="ListBullet"/>
      </w:pPr>
      <w:r>
        <w:rPr>
          <w:rFonts w:ascii="Times New Roman" w:hAnsi="Times New Roman"/>
          <w:sz w:val="24"/>
        </w:rPr>
        <w:t>Legal research subscription fees (Westlaw, LexisNexis, etc.).</w:t>
      </w:r>
    </w:p>
    <w:p>
      <w:pPr>
        <w:pStyle w:val="ListBullet"/>
      </w:pPr>
      <w:r>
        <w:rPr>
          <w:rFonts w:ascii="Times New Roman" w:hAnsi="Times New Roman"/>
          <w:sz w:val="24"/>
        </w:rPr>
        <w:t>Travel time (unless pre-approved in writing for out-of-jurisdiction work).</w:t>
      </w:r>
    </w:p>
    <w:p>
      <w:pPr>
        <w:pStyle w:val="ListBullet"/>
      </w:pPr>
      <w:r>
        <w:rPr>
          <w:rFonts w:ascii="Times New Roman" w:hAnsi="Times New Roman"/>
          <w:sz w:val="24"/>
        </w:rPr>
        <w:t>First-class or business-class airfare.</w:t>
      </w:r>
    </w:p>
    <w:p>
      <w:pPr>
        <w:pStyle w:val="ListBullet"/>
      </w:pPr>
      <w:r>
        <w:rPr>
          <w:rFonts w:ascii="Times New Roman" w:hAnsi="Times New Roman"/>
          <w:sz w:val="24"/>
        </w:rPr>
        <w:t>Alcohol.</w:t>
      </w:r>
    </w:p>
    <w:p>
      <w:pPr>
        <w:pStyle w:val="ListBullet"/>
      </w:pPr>
      <w:r>
        <w:rPr>
          <w:rFonts w:ascii="Times New Roman" w:hAnsi="Times New Roman"/>
          <w:sz w:val="24"/>
        </w:rPr>
        <w:t>Internal firm meetings, training, or professional development.</w:t>
      </w:r>
    </w:p>
    <w:p>
      <w:pPr>
        <w:pStyle w:val="ListBullet"/>
      </w:pPr>
      <w:r>
        <w:rPr>
          <w:rFonts w:ascii="Times New Roman" w:hAnsi="Times New Roman"/>
          <w:sz w:val="24"/>
        </w:rPr>
        <w:t>Rush charges for printing, copying, or courier we didn't ask for.</w:t>
      </w:r>
    </w:p>
    <w:p>
      <w:pPr>
        <w:spacing w:before="360" w:after="200"/>
      </w:pPr>
      <w:r>
        <w:rPr>
          <w:rFonts w:ascii="Times New Roman" w:hAnsi="Times New Roman"/>
          <w:b/>
          <w:sz w:val="24"/>
          <w:u w:val="single"/>
        </w:rPr>
        <w:t>5. Expenses That Need Pre-Approval</w:t>
      </w:r>
    </w:p>
    <w:p>
      <w:pPr>
        <w:spacing w:after="120"/>
      </w:pPr>
      <w:r>
        <w:rPr>
          <w:rFonts w:ascii="Times New Roman" w:hAnsi="Times New Roman"/>
          <w:sz w:val="24"/>
        </w:rPr>
        <w:t>Get written pre-approval from Legal for:</w:t>
      </w:r>
    </w:p>
    <w:p>
      <w:pPr>
        <w:pStyle w:val="ListBullet"/>
      </w:pPr>
      <w:r>
        <w:rPr>
          <w:rFonts w:ascii="Times New Roman" w:hAnsi="Times New Roman"/>
          <w:sz w:val="24"/>
        </w:rPr>
        <w:t>Experts and consultants.</w:t>
      </w:r>
    </w:p>
    <w:p>
      <w:pPr>
        <w:pStyle w:val="ListBullet"/>
      </w:pPr>
      <w:r>
        <w:rPr>
          <w:rFonts w:ascii="Times New Roman" w:hAnsi="Times New Roman"/>
          <w:sz w:val="24"/>
        </w:rPr>
        <w:t>Travel and lodging.</w:t>
      </w:r>
    </w:p>
    <w:p>
      <w:pPr>
        <w:pStyle w:val="ListBullet"/>
      </w:pPr>
      <w:r>
        <w:rPr>
          <w:rFonts w:ascii="Times New Roman" w:hAnsi="Times New Roman"/>
          <w:sz w:val="24"/>
        </w:rPr>
        <w:t>Outsourced discovery or document review.</w:t>
      </w:r>
    </w:p>
    <w:p>
      <w:pPr>
        <w:pStyle w:val="ListBullet"/>
      </w:pPr>
      <w:r>
        <w:rPr>
          <w:rFonts w:ascii="Times New Roman" w:hAnsi="Times New Roman"/>
          <w:sz w:val="24"/>
        </w:rPr>
        <w:t>Filing fees over $1,000.</w:t>
      </w:r>
    </w:p>
    <w:p>
      <w:pPr>
        <w:pStyle w:val="ListBullet"/>
      </w:pPr>
      <w:r>
        <w:rPr>
          <w:rFonts w:ascii="Times New Roman" w:hAnsi="Times New Roman"/>
          <w:sz w:val="24"/>
        </w:rPr>
        <w:t>Any single expense over $2,500.</w:t>
      </w:r>
    </w:p>
    <w:p>
      <w:pPr>
        <w:spacing w:before="360" w:after="200"/>
      </w:pPr>
      <w:r>
        <w:rPr>
          <w:rFonts w:ascii="Times New Roman" w:hAnsi="Times New Roman"/>
          <w:b/>
          <w:sz w:val="24"/>
          <w:u w:val="single"/>
        </w:rPr>
        <w:t>6. Matter Budgets</w:t>
      </w:r>
    </w:p>
    <w:p>
      <w:pPr>
        <w:pStyle w:val="ListBullet"/>
      </w:pPr>
      <w:r>
        <w:rPr>
          <w:rFonts w:ascii="Times New Roman" w:hAnsi="Times New Roman"/>
          <w:sz w:val="24"/>
        </w:rPr>
        <w:t>Give us a matter budget at the start of the engagement, broken down by phase.</w:t>
      </w:r>
    </w:p>
    <w:p>
      <w:pPr>
        <w:pStyle w:val="ListBullet"/>
      </w:pPr>
      <w:r>
        <w:rPr>
          <w:rFonts w:ascii="Times New Roman" w:hAnsi="Times New Roman"/>
          <w:sz w:val="24"/>
        </w:rPr>
        <w:t>Legal has to approve the budget before substantive work begins.</w:t>
      </w:r>
    </w:p>
    <w:p>
      <w:pPr>
        <w:pStyle w:val="ListBullet"/>
      </w:pPr>
      <w:r>
        <w:rPr>
          <w:rFonts w:ascii="Times New Roman" w:hAnsi="Times New Roman"/>
          <w:sz w:val="24"/>
        </w:rPr>
        <w:t>If actual spend will exceed budget by more than 15%, tell Legal in writing and get approval for a revised budget before you keep going.</w:t>
      </w:r>
    </w:p>
    <w:p>
      <w:pPr>
        <w:pStyle w:val="ListBullet"/>
      </w:pPr>
      <w:r>
        <w:rPr>
          <w:rFonts w:ascii="Times New Roman" w:hAnsi="Times New Roman"/>
          <w:sz w:val="24"/>
        </w:rPr>
        <w:t>Submit a quarterly budget-to-actual report with each invoice.</w:t>
      </w:r>
    </w:p>
    <w:p>
      <w:pPr>
        <w:spacing w:before="360" w:after="200"/>
      </w:pPr>
      <w:r>
        <w:rPr>
          <w:rFonts w:ascii="Times New Roman" w:hAnsi="Times New Roman"/>
          <w:b/>
          <w:sz w:val="24"/>
          <w:u w:val="single"/>
        </w:rPr>
        <w:t>7. Reporting</w:t>
      </w:r>
    </w:p>
    <w:p>
      <w:pPr>
        <w:spacing w:after="120"/>
      </w:pPr>
      <w:r>
        <w:rPr>
          <w:rFonts w:ascii="Times New Roman" w:hAnsi="Times New Roman"/>
          <w:sz w:val="24"/>
        </w:rPr>
        <w:t>Outside counsel must provide:</w:t>
      </w:r>
    </w:p>
    <w:p>
      <w:pPr>
        <w:pStyle w:val="ListBullet"/>
      </w:pPr>
      <w:r>
        <w:rPr>
          <w:rFonts w:ascii="Times New Roman" w:hAnsi="Times New Roman"/>
          <w:sz w:val="24"/>
        </w:rPr>
        <w:t>Monthly status reports: activity, developments, next steps.</w:t>
      </w:r>
    </w:p>
    <w:p>
      <w:pPr>
        <w:pStyle w:val="ListBullet"/>
      </w:pPr>
      <w:r>
        <w:rPr>
          <w:rFonts w:ascii="Times New Roman" w:hAnsi="Times New Roman"/>
          <w:sz w:val="24"/>
        </w:rPr>
        <w:t>Prompt notice of any material development (bad ruling, settlement demand, deadline change).</w:t>
      </w:r>
    </w:p>
    <w:p>
      <w:pPr>
        <w:pStyle w:val="ListBullet"/>
      </w:pPr>
      <w:r>
        <w:rPr>
          <w:rFonts w:ascii="Times New Roman" w:hAnsi="Times New Roman"/>
          <w:sz w:val="24"/>
        </w:rPr>
        <w:t>Quarterly budget-to-actual analysis.</w:t>
      </w:r>
    </w:p>
    <w:p>
      <w:pPr>
        <w:pStyle w:val="ListBullet"/>
      </w:pPr>
      <w:r>
        <w:rPr>
          <w:rFonts w:ascii="Times New Roman" w:hAnsi="Times New Roman"/>
          <w:sz w:val="24"/>
        </w:rPr>
        <w:t>Early case assessment within 30 days of engagement: estimated exposure range, recommended strategy, and timeline.</w:t>
      </w:r>
    </w:p>
    <w:p>
      <w:pPr>
        <w:spacing w:before="360" w:after="200"/>
      </w:pPr>
      <w:r>
        <w:rPr>
          <w:rFonts w:ascii="Times New Roman" w:hAnsi="Times New Roman"/>
          <w:b/>
          <w:sz w:val="24"/>
          <w:u w:val="single"/>
        </w:rPr>
        <w:t>8. Invoice Review and Payment</w:t>
      </w:r>
    </w:p>
    <w:p>
      <w:pPr>
        <w:pStyle w:val="ListBullet"/>
      </w:pPr>
      <w:r>
        <w:rPr>
          <w:rFonts w:ascii="Times New Roman" w:hAnsi="Times New Roman"/>
          <w:sz w:val="24"/>
        </w:rPr>
        <w:t>Legal reviews every invoice and can adjust it.</w:t>
      </w:r>
    </w:p>
    <w:p>
      <w:pPr>
        <w:pStyle w:val="ListBullet"/>
      </w:pPr>
      <w:r>
        <w:rPr>
          <w:rFonts w:ascii="Times New Roman" w:hAnsi="Times New Roman"/>
          <w:sz w:val="24"/>
        </w:rPr>
        <w:t>We can reduce or reject charges that don't follow these rules.</w:t>
      </w:r>
    </w:p>
    <w:p>
      <w:pPr>
        <w:pStyle w:val="ListBullet"/>
      </w:pPr>
      <w:r>
        <w:rPr>
          <w:rFonts w:ascii="Times New Roman" w:hAnsi="Times New Roman"/>
          <w:sz w:val="24"/>
        </w:rPr>
        <w:t>Payment terms: net 60 from receipt of a compliant invoice.</w:t>
      </w:r>
    </w:p>
    <w:p>
      <w:pPr>
        <w:pStyle w:val="ListBullet"/>
      </w:pPr>
      <w:r>
        <w:rPr>
          <w:rFonts w:ascii="Times New Roman" w:hAnsi="Times New Roman"/>
          <w:sz w:val="24"/>
        </w:rPr>
        <w:t>Invoice disputes get worked out between the GC and the responsible partner.</w:t>
      </w:r>
    </w:p>
    <w:p>
      <w:pPr>
        <w:spacing w:before="360" w:after="200"/>
      </w:pPr>
      <w:r>
        <w:rPr>
          <w:rFonts w:ascii="Times New Roman" w:hAnsi="Times New Roman"/>
          <w:b/>
          <w:sz w:val="24"/>
          <w:u w:val="single"/>
        </w:rPr>
        <w:t>9. Conflicts and Confidentiality</w:t>
      </w:r>
    </w:p>
    <w:p>
      <w:pPr>
        <w:pStyle w:val="ListBullet"/>
      </w:pPr>
      <w:r>
        <w:rPr>
          <w:rFonts w:ascii="Times New Roman" w:hAnsi="Times New Roman"/>
          <w:sz w:val="24"/>
        </w:rPr>
        <w:t>Disclose any actual or potential conflicts before engagement.</w:t>
      </w:r>
    </w:p>
    <w:p>
      <w:pPr>
        <w:pStyle w:val="ListBullet"/>
      </w:pPr>
      <w:r>
        <w:rPr>
          <w:rFonts w:ascii="Times New Roman" w:hAnsi="Times New Roman"/>
          <w:sz w:val="24"/>
        </w:rPr>
        <w:t>Treat all Company information as confidential. No disclosure without written authorization.</w:t>
      </w:r>
    </w:p>
    <w:p>
      <w:pPr>
        <w:pStyle w:val="ListBullet"/>
      </w:pPr>
      <w:r>
        <w:rPr>
          <w:rFonts w:ascii="Times New Roman" w:hAnsi="Times New Roman"/>
          <w:sz w:val="24"/>
        </w:rPr>
        <w:t>No press releases, articles, or public statements about Company matters without prior written consent.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color w:val="666666"/>
        <w:sz w:val="18"/>
      </w:rPr>
      <w:t>PIR Industrial LLC – Legal Department Operations Manual (Paralegal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